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AF" w:rsidRDefault="00FB00EE" w:rsidP="004E19E8">
      <w:pPr>
        <w:rPr>
          <w:b/>
          <w:noProof/>
          <w:sz w:val="24"/>
          <w:u w:val="single"/>
          <w:lang w:val="de-AT" w:eastAsia="en-GB"/>
        </w:rPr>
      </w:pPr>
      <w:r>
        <w:rPr>
          <w:b/>
          <w:noProof/>
          <w:sz w:val="24"/>
          <w:u w:val="single"/>
          <w:lang w:val="de-AT" w:eastAsia="en-GB"/>
        </w:rPr>
        <w:t>Explosionsgeschützte WEG Motoren für alle Fälle.</w:t>
      </w:r>
    </w:p>
    <w:p w:rsidR="00E826AF" w:rsidRDefault="00E826AF" w:rsidP="004E19E8">
      <w:pPr>
        <w:rPr>
          <w:b/>
          <w:noProof/>
          <w:sz w:val="24"/>
          <w:u w:val="single"/>
          <w:lang w:val="de-AT" w:eastAsia="en-GB"/>
        </w:rPr>
      </w:pPr>
    </w:p>
    <w:p w:rsidR="00C452FA" w:rsidRPr="00DB6105" w:rsidRDefault="00D8582B" w:rsidP="004E19E8">
      <w:pPr>
        <w:rPr>
          <w:rFonts w:cs="Arial"/>
          <w:b/>
          <w:sz w:val="20"/>
          <w:szCs w:val="20"/>
          <w:lang w:val="de-AT"/>
        </w:rPr>
      </w:pPr>
      <w:r w:rsidRPr="00DB6105">
        <w:rPr>
          <w:rFonts w:cs="Arial"/>
          <w:b/>
          <w:sz w:val="20"/>
          <w:szCs w:val="20"/>
          <w:lang w:val="de-AT"/>
        </w:rPr>
        <w:t xml:space="preserve">Durch das umfangreiche ATEX-Motorenprogramm von WEG besitzt Watt Drive die Möglichkeit für nahezu alle Leistungs- und Einsatzbereiche </w:t>
      </w:r>
      <w:r w:rsidR="0048660B" w:rsidRPr="00DB6105">
        <w:rPr>
          <w:rFonts w:cs="Arial"/>
          <w:b/>
          <w:sz w:val="20"/>
          <w:szCs w:val="20"/>
          <w:lang w:val="de-AT"/>
        </w:rPr>
        <w:t xml:space="preserve">den </w:t>
      </w:r>
      <w:r w:rsidRPr="00DB6105">
        <w:rPr>
          <w:rFonts w:cs="Arial"/>
          <w:b/>
          <w:sz w:val="20"/>
          <w:szCs w:val="20"/>
          <w:lang w:val="de-AT"/>
        </w:rPr>
        <w:t>passenden explosionsgeschützten Antrieb zu liefern.</w:t>
      </w:r>
      <w:r w:rsidR="00C452FA" w:rsidRPr="00DB6105">
        <w:rPr>
          <w:rFonts w:cs="Arial"/>
          <w:b/>
          <w:sz w:val="20"/>
          <w:szCs w:val="20"/>
          <w:lang w:val="de-AT"/>
        </w:rPr>
        <w:t xml:space="preserve"> </w:t>
      </w:r>
      <w:r w:rsidR="007124E4" w:rsidRPr="00DB6105">
        <w:rPr>
          <w:rFonts w:cs="Arial"/>
          <w:b/>
          <w:sz w:val="20"/>
          <w:szCs w:val="20"/>
          <w:lang w:val="de-AT"/>
        </w:rPr>
        <w:t>Ob Gas</w:t>
      </w:r>
      <w:r w:rsidR="00304CAF">
        <w:rPr>
          <w:rFonts w:cs="Arial"/>
          <w:b/>
          <w:sz w:val="20"/>
          <w:szCs w:val="20"/>
          <w:lang w:val="de-AT"/>
        </w:rPr>
        <w:t>-</w:t>
      </w:r>
      <w:r w:rsidR="007124E4" w:rsidRPr="00DB6105">
        <w:rPr>
          <w:rFonts w:cs="Arial"/>
          <w:b/>
          <w:sz w:val="20"/>
          <w:szCs w:val="20"/>
          <w:lang w:val="de-AT"/>
        </w:rPr>
        <w:t xml:space="preserve"> oder Staubatmosphäre</w:t>
      </w:r>
      <w:r w:rsidR="008C6543" w:rsidRPr="00DB6105">
        <w:rPr>
          <w:rFonts w:cs="Arial"/>
          <w:b/>
          <w:sz w:val="20"/>
          <w:szCs w:val="20"/>
          <w:lang w:val="de-AT"/>
        </w:rPr>
        <w:t xml:space="preserve"> und unabhängig welche </w:t>
      </w:r>
      <w:r w:rsidR="007124E4" w:rsidRPr="00DB6105">
        <w:rPr>
          <w:rFonts w:cs="Arial"/>
          <w:b/>
          <w:sz w:val="20"/>
          <w:szCs w:val="20"/>
          <w:lang w:val="de-AT"/>
        </w:rPr>
        <w:t>Zündschutzart benötig</w:t>
      </w:r>
      <w:r w:rsidR="00304CAF">
        <w:rPr>
          <w:rFonts w:cs="Arial"/>
          <w:b/>
          <w:sz w:val="20"/>
          <w:szCs w:val="20"/>
          <w:lang w:val="de-AT"/>
        </w:rPr>
        <w:t>t wird</w:t>
      </w:r>
      <w:r w:rsidR="007124E4" w:rsidRPr="00DB6105">
        <w:rPr>
          <w:rFonts w:cs="Arial"/>
          <w:b/>
          <w:sz w:val="20"/>
          <w:szCs w:val="20"/>
          <w:lang w:val="de-AT"/>
        </w:rPr>
        <w:t>,</w:t>
      </w:r>
      <w:r w:rsidR="00BA6C19" w:rsidRPr="00DB6105">
        <w:rPr>
          <w:rFonts w:cs="Arial"/>
          <w:b/>
          <w:sz w:val="20"/>
          <w:szCs w:val="20"/>
          <w:lang w:val="de-AT"/>
        </w:rPr>
        <w:t xml:space="preserve"> </w:t>
      </w:r>
      <w:r w:rsidR="00A17599">
        <w:rPr>
          <w:rFonts w:cs="Arial"/>
          <w:b/>
          <w:sz w:val="20"/>
          <w:szCs w:val="20"/>
          <w:lang w:val="de-AT"/>
        </w:rPr>
        <w:t xml:space="preserve">WEG </w:t>
      </w:r>
      <w:r w:rsidR="00304CAF">
        <w:rPr>
          <w:rFonts w:cs="Arial"/>
          <w:b/>
          <w:sz w:val="20"/>
          <w:szCs w:val="20"/>
          <w:lang w:val="de-AT"/>
        </w:rPr>
        <w:t xml:space="preserve">hat </w:t>
      </w:r>
      <w:r w:rsidR="00BA6C19" w:rsidRPr="00DB6105">
        <w:rPr>
          <w:rFonts w:cs="Arial"/>
          <w:b/>
          <w:sz w:val="20"/>
          <w:szCs w:val="20"/>
          <w:lang w:val="de-AT"/>
        </w:rPr>
        <w:t xml:space="preserve">die passende Lösung. </w:t>
      </w:r>
      <w:r w:rsidR="00C452FA" w:rsidRPr="00DB6105">
        <w:rPr>
          <w:rFonts w:cs="Arial"/>
          <w:b/>
          <w:sz w:val="20"/>
          <w:szCs w:val="20"/>
          <w:lang w:val="de-AT"/>
        </w:rPr>
        <w:t>Dabei sind wir nicht nur auf höchste Sicherheit, sondern auch auf Kosteneffizienz be</w:t>
      </w:r>
      <w:r w:rsidR="007124E4" w:rsidRPr="00DB6105">
        <w:rPr>
          <w:rFonts w:cs="Arial"/>
          <w:b/>
          <w:sz w:val="20"/>
          <w:szCs w:val="20"/>
          <w:lang w:val="de-AT"/>
        </w:rPr>
        <w:t xml:space="preserve">dacht. </w:t>
      </w:r>
      <w:r w:rsidR="00304CAF">
        <w:rPr>
          <w:rFonts w:cs="Arial"/>
          <w:b/>
          <w:sz w:val="20"/>
          <w:szCs w:val="20"/>
          <w:lang w:val="de-AT"/>
        </w:rPr>
        <w:t xml:space="preserve">Die Motorbaureihe W22X ist </w:t>
      </w:r>
      <w:r w:rsidR="00332CD5">
        <w:rPr>
          <w:rFonts w:cs="Arial"/>
          <w:b/>
          <w:sz w:val="20"/>
          <w:szCs w:val="20"/>
          <w:lang w:val="de-AT"/>
        </w:rPr>
        <w:t xml:space="preserve">für einige Baureihen </w:t>
      </w:r>
      <w:r w:rsidR="0048660B" w:rsidRPr="00DB6105">
        <w:rPr>
          <w:rFonts w:cs="Arial"/>
          <w:b/>
          <w:sz w:val="20"/>
          <w:szCs w:val="20"/>
          <w:lang w:val="de-AT"/>
        </w:rPr>
        <w:t>bis zur Wirkungsgradklasse IE3 erhältlich.</w:t>
      </w:r>
    </w:p>
    <w:p w:rsidR="00537753" w:rsidRDefault="00C452FA" w:rsidP="004E19E8">
      <w:pPr>
        <w:rPr>
          <w:rFonts w:cs="Arial"/>
          <w:sz w:val="20"/>
          <w:szCs w:val="20"/>
          <w:lang w:val="de-AT"/>
        </w:rPr>
      </w:pPr>
      <w:r>
        <w:rPr>
          <w:rFonts w:cs="Arial"/>
          <w:sz w:val="20"/>
          <w:szCs w:val="20"/>
          <w:lang w:val="de-AT"/>
        </w:rPr>
        <w:t xml:space="preserve"> </w:t>
      </w:r>
    </w:p>
    <w:p w:rsidR="00586E15" w:rsidRDefault="00586E15" w:rsidP="00586E15">
      <w:pPr>
        <w:jc w:val="center"/>
        <w:rPr>
          <w:rFonts w:cs="Arial"/>
          <w:sz w:val="20"/>
          <w:szCs w:val="20"/>
          <w:lang w:val="de-AT"/>
        </w:rPr>
      </w:pPr>
      <w:r>
        <w:rPr>
          <w:rFonts w:cs="Arial"/>
          <w:noProof/>
          <w:sz w:val="20"/>
          <w:szCs w:val="20"/>
          <w:lang w:val="en-GB" w:eastAsia="en-GB"/>
        </w:rPr>
        <w:drawing>
          <wp:inline distT="0" distB="0" distL="0" distR="0">
            <wp:extent cx="2048933" cy="2048933"/>
            <wp:effectExtent l="0" t="0" r="889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g-w22x-explosion-proof-moto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0756" cy="2050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E15" w:rsidRPr="0070150C" w:rsidRDefault="00586E15" w:rsidP="00586E15">
      <w:pPr>
        <w:jc w:val="center"/>
        <w:rPr>
          <w:noProof/>
          <w:sz w:val="20"/>
          <w:szCs w:val="20"/>
          <w:lang w:val="de-AT" w:eastAsia="en-GB"/>
        </w:rPr>
      </w:pPr>
      <w:r w:rsidRPr="0070150C">
        <w:rPr>
          <w:noProof/>
          <w:sz w:val="20"/>
          <w:szCs w:val="20"/>
          <w:lang w:val="de-AT" w:eastAsia="en-GB"/>
        </w:rPr>
        <w:t>Bild 1: WEG W22</w:t>
      </w:r>
      <w:r>
        <w:rPr>
          <w:noProof/>
          <w:sz w:val="20"/>
          <w:szCs w:val="20"/>
          <w:lang w:val="de-AT" w:eastAsia="en-GB"/>
        </w:rPr>
        <w:t>X Line</w:t>
      </w:r>
    </w:p>
    <w:p w:rsidR="00586E15" w:rsidRDefault="00586E15" w:rsidP="004E19E8">
      <w:pPr>
        <w:rPr>
          <w:rFonts w:cs="Arial"/>
          <w:sz w:val="20"/>
          <w:szCs w:val="20"/>
          <w:lang w:val="de-AT"/>
        </w:rPr>
      </w:pPr>
    </w:p>
    <w:p w:rsidR="00586E15" w:rsidRDefault="00586E15" w:rsidP="004E19E8">
      <w:pPr>
        <w:rPr>
          <w:rFonts w:cs="Arial"/>
          <w:sz w:val="20"/>
          <w:szCs w:val="20"/>
          <w:lang w:val="de-AT"/>
        </w:rPr>
      </w:pPr>
    </w:p>
    <w:p w:rsidR="00D13D1B" w:rsidRDefault="00BA6C19" w:rsidP="004E19E8">
      <w:pPr>
        <w:rPr>
          <w:rFonts w:cs="Arial"/>
          <w:sz w:val="20"/>
          <w:szCs w:val="20"/>
          <w:lang w:val="de-AT"/>
        </w:rPr>
      </w:pPr>
      <w:r>
        <w:rPr>
          <w:rFonts w:cs="Arial"/>
          <w:sz w:val="20"/>
          <w:szCs w:val="20"/>
          <w:lang w:val="de-AT"/>
        </w:rPr>
        <w:t>Die W22X-Motoren mit ATEX/</w:t>
      </w:r>
      <w:r w:rsidR="008C6543">
        <w:rPr>
          <w:rFonts w:cs="Arial"/>
          <w:sz w:val="20"/>
          <w:szCs w:val="20"/>
          <w:lang w:val="de-AT"/>
        </w:rPr>
        <w:t xml:space="preserve"> </w:t>
      </w:r>
      <w:r>
        <w:rPr>
          <w:rFonts w:cs="Arial"/>
          <w:sz w:val="20"/>
          <w:szCs w:val="20"/>
          <w:lang w:val="de-AT"/>
        </w:rPr>
        <w:t>IECEx</w:t>
      </w:r>
      <w:r w:rsidR="008C6543">
        <w:rPr>
          <w:rFonts w:cs="Arial"/>
          <w:sz w:val="20"/>
          <w:szCs w:val="20"/>
          <w:lang w:val="de-AT"/>
        </w:rPr>
        <w:t xml:space="preserve"> </w:t>
      </w:r>
      <w:r>
        <w:rPr>
          <w:rFonts w:cs="Arial"/>
          <w:sz w:val="20"/>
          <w:szCs w:val="20"/>
          <w:lang w:val="de-AT"/>
        </w:rPr>
        <w:t>-</w:t>
      </w:r>
      <w:r w:rsidR="008C6543">
        <w:rPr>
          <w:rFonts w:cs="Arial"/>
          <w:sz w:val="20"/>
          <w:szCs w:val="20"/>
          <w:lang w:val="de-AT"/>
        </w:rPr>
        <w:t xml:space="preserve"> </w:t>
      </w:r>
      <w:r>
        <w:rPr>
          <w:rFonts w:cs="Arial"/>
          <w:sz w:val="20"/>
          <w:szCs w:val="20"/>
          <w:lang w:val="de-AT"/>
        </w:rPr>
        <w:t>Zertifizierung sind für die hohen Anforderungen aggres</w:t>
      </w:r>
      <w:r w:rsidR="008C6543">
        <w:rPr>
          <w:rFonts w:cs="Arial"/>
          <w:sz w:val="20"/>
          <w:szCs w:val="20"/>
          <w:lang w:val="de-AT"/>
        </w:rPr>
        <w:t>siver und explosions</w:t>
      </w:r>
      <w:r w:rsidR="00D13D1B">
        <w:rPr>
          <w:rFonts w:cs="Arial"/>
          <w:sz w:val="20"/>
          <w:szCs w:val="20"/>
          <w:lang w:val="de-AT"/>
        </w:rPr>
        <w:t xml:space="preserve">gefährdeter Bereiche ausgelegt. Die Baureihe ist als Nieder-, Mittel- und Hochspannungsvariante verfügbar. </w:t>
      </w:r>
    </w:p>
    <w:p w:rsidR="00D13D1B" w:rsidRDefault="00D13D1B" w:rsidP="004E19E8">
      <w:pPr>
        <w:rPr>
          <w:rFonts w:cs="Arial"/>
          <w:sz w:val="20"/>
          <w:szCs w:val="20"/>
          <w:lang w:val="de-AT"/>
        </w:rPr>
      </w:pPr>
    </w:p>
    <w:p w:rsidR="00FC7275" w:rsidRDefault="00F12D67" w:rsidP="004E19E8">
      <w:pPr>
        <w:rPr>
          <w:rFonts w:cs="Arial"/>
          <w:sz w:val="20"/>
          <w:szCs w:val="20"/>
          <w:lang w:val="de-AT"/>
        </w:rPr>
      </w:pPr>
      <w:r>
        <w:rPr>
          <w:rFonts w:cs="Arial"/>
          <w:sz w:val="20"/>
          <w:szCs w:val="20"/>
          <w:lang w:val="de-AT"/>
        </w:rPr>
        <w:t xml:space="preserve">Für den Leistungsbereich </w:t>
      </w:r>
      <w:r w:rsidR="00D13D1B">
        <w:rPr>
          <w:rFonts w:cs="Arial"/>
          <w:sz w:val="20"/>
          <w:szCs w:val="20"/>
          <w:lang w:val="de-AT"/>
        </w:rPr>
        <w:t xml:space="preserve">von </w:t>
      </w:r>
      <w:r w:rsidR="00C202FE">
        <w:rPr>
          <w:rFonts w:cs="Arial"/>
          <w:sz w:val="20"/>
          <w:szCs w:val="20"/>
          <w:lang w:val="de-AT"/>
        </w:rPr>
        <w:t>0,12</w:t>
      </w:r>
      <w:r w:rsidR="00D13D1B">
        <w:rPr>
          <w:rFonts w:cs="Arial"/>
          <w:sz w:val="20"/>
          <w:szCs w:val="20"/>
          <w:lang w:val="de-AT"/>
        </w:rPr>
        <w:t xml:space="preserve"> bis </w:t>
      </w:r>
      <w:r w:rsidR="00B80A75">
        <w:rPr>
          <w:rFonts w:cs="Arial"/>
          <w:sz w:val="20"/>
          <w:szCs w:val="20"/>
          <w:lang w:val="de-AT"/>
        </w:rPr>
        <w:t xml:space="preserve">1400 </w:t>
      </w:r>
      <w:r w:rsidR="00D13D1B">
        <w:rPr>
          <w:rFonts w:cs="Arial"/>
          <w:sz w:val="20"/>
          <w:szCs w:val="20"/>
          <w:lang w:val="de-AT"/>
        </w:rPr>
        <w:t>kW</w:t>
      </w:r>
      <w:r>
        <w:rPr>
          <w:rFonts w:cs="Arial"/>
          <w:sz w:val="20"/>
          <w:szCs w:val="20"/>
          <w:lang w:val="de-AT"/>
        </w:rPr>
        <w:t xml:space="preserve"> werden Niederspannungsmotoren </w:t>
      </w:r>
      <w:r w:rsidR="00B80A75">
        <w:rPr>
          <w:rFonts w:cs="Arial"/>
          <w:sz w:val="20"/>
          <w:szCs w:val="20"/>
          <w:lang w:val="de-AT"/>
        </w:rPr>
        <w:t xml:space="preserve">mit unterschiedlichen </w:t>
      </w:r>
      <w:r w:rsidR="00D13D1B">
        <w:rPr>
          <w:rFonts w:cs="Arial"/>
          <w:sz w:val="20"/>
          <w:szCs w:val="20"/>
          <w:lang w:val="de-AT"/>
        </w:rPr>
        <w:t xml:space="preserve">Zündschutzarten </w:t>
      </w:r>
      <w:r>
        <w:rPr>
          <w:rFonts w:cs="Arial"/>
          <w:sz w:val="20"/>
          <w:szCs w:val="20"/>
          <w:lang w:val="de-AT"/>
        </w:rPr>
        <w:t>eingesetzt,</w:t>
      </w:r>
      <w:r w:rsidR="00D13D1B">
        <w:rPr>
          <w:rFonts w:cs="Arial"/>
          <w:sz w:val="20"/>
          <w:szCs w:val="20"/>
          <w:lang w:val="de-AT"/>
        </w:rPr>
        <w:t xml:space="preserve"> </w:t>
      </w:r>
      <w:r>
        <w:rPr>
          <w:rFonts w:cs="Arial"/>
          <w:sz w:val="20"/>
          <w:szCs w:val="20"/>
          <w:lang w:val="de-AT"/>
        </w:rPr>
        <w:t>welche</w:t>
      </w:r>
      <w:r w:rsidR="00D13D1B">
        <w:rPr>
          <w:rFonts w:cs="Arial"/>
          <w:sz w:val="20"/>
          <w:szCs w:val="20"/>
          <w:lang w:val="de-AT"/>
        </w:rPr>
        <w:t xml:space="preserve"> für </w:t>
      </w:r>
      <w:r w:rsidR="008702C2">
        <w:rPr>
          <w:rFonts w:cs="Arial"/>
          <w:sz w:val="20"/>
          <w:szCs w:val="20"/>
          <w:lang w:val="de-AT"/>
        </w:rPr>
        <w:t xml:space="preserve">die Zone 1, 21, 2 und </w:t>
      </w:r>
      <w:r>
        <w:rPr>
          <w:rFonts w:cs="Arial"/>
          <w:sz w:val="20"/>
          <w:szCs w:val="20"/>
          <w:lang w:val="de-AT"/>
        </w:rPr>
        <w:t>22 geeignet sind.</w:t>
      </w:r>
    </w:p>
    <w:p w:rsidR="00D13D1B" w:rsidRDefault="00D13D1B" w:rsidP="004E19E8">
      <w:pPr>
        <w:rPr>
          <w:rFonts w:cs="Arial"/>
          <w:sz w:val="20"/>
          <w:szCs w:val="20"/>
          <w:lang w:val="de-AT"/>
        </w:rPr>
      </w:pPr>
    </w:p>
    <w:p w:rsidR="00D13D1B" w:rsidRDefault="00106390" w:rsidP="004E19E8">
      <w:pPr>
        <w:rPr>
          <w:rFonts w:cs="Arial"/>
          <w:sz w:val="20"/>
          <w:szCs w:val="20"/>
          <w:lang w:val="de-AT"/>
        </w:rPr>
      </w:pPr>
      <w:r>
        <w:rPr>
          <w:rFonts w:cs="Arial"/>
          <w:sz w:val="20"/>
          <w:szCs w:val="20"/>
          <w:lang w:val="de-AT"/>
        </w:rPr>
        <w:t xml:space="preserve">Bei anspruchsvolleren </w:t>
      </w:r>
      <w:r w:rsidR="00F12D67">
        <w:rPr>
          <w:rFonts w:cs="Arial"/>
          <w:sz w:val="20"/>
          <w:szCs w:val="20"/>
          <w:lang w:val="de-AT"/>
        </w:rPr>
        <w:t xml:space="preserve">Applikationen </w:t>
      </w:r>
      <w:r w:rsidR="0083117E">
        <w:rPr>
          <w:rFonts w:cs="Arial"/>
          <w:sz w:val="20"/>
          <w:szCs w:val="20"/>
          <w:lang w:val="de-AT"/>
        </w:rPr>
        <w:t>kommen</w:t>
      </w:r>
      <w:r>
        <w:rPr>
          <w:rFonts w:cs="Arial"/>
          <w:sz w:val="20"/>
          <w:szCs w:val="20"/>
          <w:lang w:val="de-AT"/>
        </w:rPr>
        <w:t xml:space="preserve"> Mittel- und Hochspannungsm</w:t>
      </w:r>
      <w:r w:rsidR="00F12D67">
        <w:rPr>
          <w:rFonts w:cs="Arial"/>
          <w:sz w:val="20"/>
          <w:szCs w:val="20"/>
          <w:lang w:val="de-AT"/>
        </w:rPr>
        <w:t xml:space="preserve">otoren von </w:t>
      </w:r>
      <w:r w:rsidR="00332CD5">
        <w:rPr>
          <w:rFonts w:cs="Arial"/>
          <w:sz w:val="20"/>
          <w:szCs w:val="20"/>
          <w:lang w:val="de-AT"/>
        </w:rPr>
        <w:t>90</w:t>
      </w:r>
      <w:r w:rsidR="00B80A75">
        <w:rPr>
          <w:rFonts w:cs="Arial"/>
          <w:sz w:val="20"/>
          <w:szCs w:val="20"/>
          <w:lang w:val="de-AT"/>
        </w:rPr>
        <w:t xml:space="preserve"> bis </w:t>
      </w:r>
      <w:r>
        <w:rPr>
          <w:rFonts w:cs="Arial"/>
          <w:sz w:val="20"/>
          <w:szCs w:val="20"/>
          <w:lang w:val="de-AT"/>
        </w:rPr>
        <w:t>4500</w:t>
      </w:r>
      <w:r w:rsidR="00F12D67">
        <w:rPr>
          <w:rFonts w:cs="Arial"/>
          <w:sz w:val="20"/>
          <w:szCs w:val="20"/>
          <w:lang w:val="de-AT"/>
        </w:rPr>
        <w:t xml:space="preserve"> kW </w:t>
      </w:r>
      <w:r>
        <w:rPr>
          <w:rFonts w:cs="Arial"/>
          <w:sz w:val="20"/>
          <w:szCs w:val="20"/>
          <w:lang w:val="de-AT"/>
        </w:rPr>
        <w:t xml:space="preserve">für </w:t>
      </w:r>
      <w:r w:rsidR="0070718E">
        <w:rPr>
          <w:rFonts w:cs="Arial"/>
          <w:sz w:val="20"/>
          <w:szCs w:val="20"/>
          <w:lang w:val="de-AT"/>
        </w:rPr>
        <w:t xml:space="preserve">nahezu alle </w:t>
      </w:r>
      <w:r w:rsidR="008702C2">
        <w:rPr>
          <w:rFonts w:cs="Arial"/>
          <w:sz w:val="20"/>
          <w:szCs w:val="20"/>
          <w:lang w:val="de-AT"/>
        </w:rPr>
        <w:t>Kategorien</w:t>
      </w:r>
      <w:r w:rsidR="0070718E">
        <w:rPr>
          <w:rFonts w:cs="Arial"/>
          <w:sz w:val="20"/>
          <w:szCs w:val="20"/>
          <w:lang w:val="de-AT"/>
        </w:rPr>
        <w:t xml:space="preserve"> </w:t>
      </w:r>
      <w:r w:rsidR="0083117E">
        <w:rPr>
          <w:rFonts w:cs="Arial"/>
          <w:sz w:val="20"/>
          <w:szCs w:val="20"/>
          <w:lang w:val="de-AT"/>
        </w:rPr>
        <w:t>zum Einsatz.</w:t>
      </w:r>
      <w:r w:rsidR="00AD048D">
        <w:rPr>
          <w:rFonts w:cs="Arial"/>
          <w:sz w:val="20"/>
          <w:szCs w:val="20"/>
          <w:lang w:val="de-AT"/>
        </w:rPr>
        <w:t xml:space="preserve"> </w:t>
      </w:r>
      <w:r w:rsidR="00B80A75">
        <w:rPr>
          <w:rFonts w:cs="Arial"/>
          <w:sz w:val="20"/>
          <w:szCs w:val="20"/>
          <w:lang w:val="de-AT"/>
        </w:rPr>
        <w:t xml:space="preserve">Die Baugrößen 560 bis 710 werden nicht in der </w:t>
      </w:r>
      <w:r w:rsidR="00AD048D">
        <w:rPr>
          <w:rFonts w:cs="Arial"/>
          <w:sz w:val="20"/>
          <w:szCs w:val="20"/>
          <w:lang w:val="de-AT"/>
        </w:rPr>
        <w:t>herkömmliche</w:t>
      </w:r>
      <w:r w:rsidR="00B80A75">
        <w:rPr>
          <w:rFonts w:cs="Arial"/>
          <w:sz w:val="20"/>
          <w:szCs w:val="20"/>
          <w:lang w:val="de-AT"/>
        </w:rPr>
        <w:t xml:space="preserve">n </w:t>
      </w:r>
      <w:r w:rsidR="00AD048D">
        <w:rPr>
          <w:rFonts w:cs="Arial"/>
          <w:sz w:val="20"/>
          <w:szCs w:val="20"/>
          <w:lang w:val="de-AT"/>
        </w:rPr>
        <w:t xml:space="preserve"> Kühlrippenausführung (IC411)</w:t>
      </w:r>
      <w:r w:rsidR="00B80A75">
        <w:rPr>
          <w:rFonts w:cs="Arial"/>
          <w:sz w:val="20"/>
          <w:szCs w:val="20"/>
          <w:lang w:val="de-AT"/>
        </w:rPr>
        <w:t xml:space="preserve"> ausgeführt sondern als </w:t>
      </w:r>
      <w:r w:rsidR="00AD048D">
        <w:rPr>
          <w:rFonts w:cs="Arial"/>
          <w:sz w:val="20"/>
          <w:szCs w:val="20"/>
          <w:lang w:val="de-AT"/>
        </w:rPr>
        <w:t>röhrengekühlte (IC511)</w:t>
      </w:r>
      <w:r w:rsidR="00B80A75">
        <w:rPr>
          <w:rFonts w:cs="Arial"/>
          <w:sz w:val="20"/>
          <w:szCs w:val="20"/>
          <w:lang w:val="de-AT"/>
        </w:rPr>
        <w:t xml:space="preserve"> Ex-Motoren</w:t>
      </w:r>
      <w:r w:rsidR="00201810">
        <w:rPr>
          <w:rFonts w:cs="Arial"/>
          <w:sz w:val="20"/>
          <w:szCs w:val="20"/>
          <w:lang w:val="de-AT"/>
        </w:rPr>
        <w:t xml:space="preserve"> (siehe Bild 2)</w:t>
      </w:r>
      <w:r w:rsidR="00AD048D">
        <w:rPr>
          <w:rFonts w:cs="Arial"/>
          <w:sz w:val="20"/>
          <w:szCs w:val="20"/>
          <w:lang w:val="de-AT"/>
        </w:rPr>
        <w:t>.</w:t>
      </w:r>
    </w:p>
    <w:p w:rsidR="00576C22" w:rsidRDefault="00576C22" w:rsidP="004E19E8">
      <w:pPr>
        <w:rPr>
          <w:rFonts w:cs="Arial"/>
          <w:sz w:val="20"/>
          <w:szCs w:val="20"/>
          <w:lang w:val="de-AT"/>
        </w:rPr>
      </w:pPr>
      <w:r>
        <w:rPr>
          <w:rFonts w:cs="Arial"/>
          <w:sz w:val="20"/>
          <w:szCs w:val="20"/>
          <w:lang w:val="de-AT"/>
        </w:rPr>
        <w:t>WEG ist auch in der Lage, explosionsgeschützte Motoren bis 40</w:t>
      </w:r>
      <w:r w:rsidR="00FD2320">
        <w:rPr>
          <w:rFonts w:cs="Arial"/>
          <w:sz w:val="20"/>
          <w:szCs w:val="20"/>
          <w:lang w:val="de-AT"/>
        </w:rPr>
        <w:t xml:space="preserve"> </w:t>
      </w:r>
      <w:r>
        <w:rPr>
          <w:rFonts w:cs="Arial"/>
          <w:sz w:val="20"/>
          <w:szCs w:val="20"/>
          <w:lang w:val="de-AT"/>
        </w:rPr>
        <w:t>MW zu liefern.</w:t>
      </w:r>
    </w:p>
    <w:p w:rsidR="00FD38FC" w:rsidRDefault="00FD38FC" w:rsidP="004E19E8">
      <w:pPr>
        <w:rPr>
          <w:rFonts w:cs="Arial"/>
          <w:sz w:val="20"/>
          <w:szCs w:val="20"/>
          <w:lang w:val="de-A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3"/>
        <w:gridCol w:w="1596"/>
        <w:gridCol w:w="700"/>
        <w:gridCol w:w="1047"/>
        <w:gridCol w:w="1705"/>
        <w:gridCol w:w="779"/>
        <w:gridCol w:w="1951"/>
      </w:tblGrid>
      <w:tr w:rsidR="00FD38FC" w:rsidRPr="00FD38FC" w:rsidTr="00FD38FC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D38FC" w:rsidRPr="00FD38FC" w:rsidRDefault="00281545" w:rsidP="00FD38FC">
            <w:pPr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 xml:space="preserve">Produktübersicht explosionsgeschützter </w:t>
            </w:r>
            <w:r w:rsidR="00A17599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 xml:space="preserve">WEG </w:t>
            </w:r>
            <w:r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Motoren</w:t>
            </w:r>
          </w:p>
        </w:tc>
      </w:tr>
      <w:tr w:rsidR="00FD38FC" w:rsidRPr="00FD38FC" w:rsidTr="00992F41">
        <w:trPr>
          <w:trHeight w:val="300"/>
        </w:trPr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FC" w:rsidRPr="00FD38FC" w:rsidRDefault="00FD38FC" w:rsidP="00A17599">
            <w:pPr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FD38FC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Spannungsbereich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FC" w:rsidRPr="00FD38FC" w:rsidRDefault="00FD38FC" w:rsidP="00A17599">
            <w:pPr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FD38FC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Leistung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FC" w:rsidRPr="00FD38FC" w:rsidRDefault="00FD38FC" w:rsidP="00A17599">
            <w:pPr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FD38FC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Zone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FC" w:rsidRPr="00FD38FC" w:rsidRDefault="00FD38FC" w:rsidP="00A17599">
            <w:pPr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FD38FC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Gruppe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FC" w:rsidRPr="00FD38FC" w:rsidRDefault="002615E1" w:rsidP="00A17599">
            <w:pPr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Zündschutzart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FC" w:rsidRPr="00FD38FC" w:rsidRDefault="00FD38FC" w:rsidP="00FD38FC">
            <w:pPr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FD38FC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Polzahl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FC" w:rsidRPr="00FD38FC" w:rsidRDefault="00FD38FC" w:rsidP="00A17599">
            <w:pPr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FD38FC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Temperaturklasse</w:t>
            </w:r>
          </w:p>
        </w:tc>
      </w:tr>
      <w:tr w:rsidR="002E34E5" w:rsidRPr="00FD38FC" w:rsidTr="00992F41">
        <w:trPr>
          <w:trHeight w:val="300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E5" w:rsidRPr="00FD38FC" w:rsidRDefault="002E34E5" w:rsidP="00C202FE">
            <w:pPr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FD38FC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 xml:space="preserve">Un ≤ </w:t>
            </w:r>
            <w:r w:rsidR="00C202FE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690</w:t>
            </w:r>
            <w:r w:rsidRPr="00FD38FC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 xml:space="preserve"> V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E5" w:rsidRPr="00FD38FC" w:rsidRDefault="002E34E5" w:rsidP="002E34E5">
            <w:pPr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0,12</w:t>
            </w:r>
            <w:r w:rsidRPr="00FD38FC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 xml:space="preserve"> </w:t>
            </w:r>
            <w:r w:rsidR="00992F41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-</w:t>
            </w:r>
            <w:r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 xml:space="preserve"> 450 </w:t>
            </w:r>
            <w:r w:rsidRPr="00FD38FC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kW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E5" w:rsidRPr="00FD38FC" w:rsidRDefault="002E34E5" w:rsidP="00AD048D">
            <w:pPr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2, 22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E5" w:rsidRPr="00FD38FC" w:rsidRDefault="002E34E5" w:rsidP="00FD38FC">
            <w:pPr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IIA, IIB, IIC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E5" w:rsidRPr="00FD38FC" w:rsidRDefault="002E34E5" w:rsidP="00FD38FC">
            <w:pPr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Ex nA, EX tc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E5" w:rsidRPr="00FD38FC" w:rsidRDefault="002E34E5" w:rsidP="00FD38FC">
            <w:pPr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FD38FC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2</w:t>
            </w:r>
          </w:p>
          <w:p w:rsidR="002E34E5" w:rsidRPr="00FD38FC" w:rsidRDefault="002E34E5" w:rsidP="00FD38FC">
            <w:pPr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FD38FC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4</w:t>
            </w:r>
          </w:p>
          <w:p w:rsidR="002E34E5" w:rsidRPr="00FD38FC" w:rsidRDefault="002E34E5" w:rsidP="00FD38FC">
            <w:pPr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FD38FC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6</w:t>
            </w:r>
          </w:p>
          <w:p w:rsidR="002E34E5" w:rsidRPr="00FD38FC" w:rsidRDefault="002E34E5" w:rsidP="00FD38FC">
            <w:pPr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FD38FC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8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E5" w:rsidRPr="00FD38FC" w:rsidRDefault="002E34E5" w:rsidP="00FD38FC">
            <w:pPr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FD38FC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T1 450°C</w:t>
            </w:r>
          </w:p>
          <w:p w:rsidR="002E34E5" w:rsidRPr="00FD38FC" w:rsidRDefault="002E34E5" w:rsidP="00FD38FC">
            <w:pPr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FD38FC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T2 300°C</w:t>
            </w:r>
          </w:p>
          <w:p w:rsidR="002E34E5" w:rsidRPr="00FD38FC" w:rsidRDefault="002E34E5" w:rsidP="00FD38FC">
            <w:pPr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FD38FC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T3 200°C</w:t>
            </w:r>
          </w:p>
          <w:p w:rsidR="002E34E5" w:rsidRPr="00FD38FC" w:rsidRDefault="002E34E5" w:rsidP="00FD38FC">
            <w:pPr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FD38FC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T4 135 °C</w:t>
            </w:r>
          </w:p>
        </w:tc>
      </w:tr>
      <w:tr w:rsidR="002E34E5" w:rsidRPr="00FD38FC" w:rsidTr="00992F41">
        <w:trPr>
          <w:trHeight w:val="63"/>
        </w:trPr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E5" w:rsidRPr="00992F41" w:rsidRDefault="002E34E5" w:rsidP="00FD38FC">
            <w:pPr>
              <w:jc w:val="center"/>
              <w:rPr>
                <w:rFonts w:ascii="Calibri" w:hAnsi="Calibri" w:cs="Calibri"/>
                <w:color w:val="000000"/>
                <w:sz w:val="4"/>
                <w:szCs w:val="4"/>
                <w:lang w:val="de-AT" w:eastAsia="de-AT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E5" w:rsidRPr="00992F41" w:rsidRDefault="002E34E5" w:rsidP="00FD38FC">
            <w:pPr>
              <w:jc w:val="center"/>
              <w:rPr>
                <w:rFonts w:ascii="Calibri" w:hAnsi="Calibri" w:cs="Calibri"/>
                <w:color w:val="000000"/>
                <w:sz w:val="4"/>
                <w:szCs w:val="4"/>
                <w:lang w:val="de-AT" w:eastAsia="de-AT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E5" w:rsidRPr="00992F41" w:rsidRDefault="002E34E5" w:rsidP="00AD048D">
            <w:pPr>
              <w:jc w:val="center"/>
              <w:rPr>
                <w:rFonts w:ascii="Calibri" w:hAnsi="Calibri" w:cs="Calibri"/>
                <w:color w:val="000000"/>
                <w:sz w:val="4"/>
                <w:szCs w:val="4"/>
                <w:lang w:val="de-AT" w:eastAsia="de-AT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E5" w:rsidRPr="00992F41" w:rsidRDefault="002E34E5" w:rsidP="00FD38FC">
            <w:pPr>
              <w:jc w:val="center"/>
              <w:rPr>
                <w:rFonts w:ascii="Calibri" w:hAnsi="Calibri" w:cs="Calibri"/>
                <w:color w:val="000000"/>
                <w:sz w:val="4"/>
                <w:szCs w:val="4"/>
                <w:lang w:val="de-AT" w:eastAsia="de-AT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E5" w:rsidRPr="00992F41" w:rsidRDefault="002E34E5" w:rsidP="00FD38FC">
            <w:pPr>
              <w:jc w:val="center"/>
              <w:rPr>
                <w:rFonts w:ascii="Calibri" w:hAnsi="Calibri" w:cs="Calibri"/>
                <w:color w:val="000000"/>
                <w:sz w:val="4"/>
                <w:szCs w:val="4"/>
                <w:lang w:val="de-AT" w:eastAsia="de-AT"/>
              </w:rPr>
            </w:pPr>
          </w:p>
        </w:tc>
        <w:tc>
          <w:tcPr>
            <w:tcW w:w="3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E5" w:rsidRPr="00FD38FC" w:rsidRDefault="002E34E5" w:rsidP="00FD38FC">
            <w:pPr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</w:p>
        </w:tc>
        <w:tc>
          <w:tcPr>
            <w:tcW w:w="98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E5" w:rsidRPr="00FD38FC" w:rsidRDefault="002E34E5" w:rsidP="00FD38FC">
            <w:pPr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</w:p>
        </w:tc>
      </w:tr>
      <w:tr w:rsidR="00992F41" w:rsidRPr="00992F41" w:rsidTr="00992F41">
        <w:trPr>
          <w:trHeight w:val="300"/>
        </w:trPr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41" w:rsidRPr="00FD38FC" w:rsidRDefault="00992F41" w:rsidP="00332CD5">
            <w:pPr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FD38FC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 xml:space="preserve">Un ≤ </w:t>
            </w:r>
            <w:r w:rsidR="00332CD5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1100</w:t>
            </w:r>
            <w:r w:rsidRPr="00FD38FC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 xml:space="preserve"> V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41" w:rsidRPr="00FD38FC" w:rsidRDefault="00332CD5" w:rsidP="00332CD5">
            <w:pPr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0,12</w:t>
            </w:r>
            <w:r w:rsidR="00992F41" w:rsidRPr="00FD38FC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 xml:space="preserve"> - </w:t>
            </w:r>
            <w:r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1400</w:t>
            </w:r>
            <w:r w:rsidR="00992F41" w:rsidRPr="00FD38FC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 xml:space="preserve"> kW</w:t>
            </w:r>
          </w:p>
        </w:tc>
        <w:tc>
          <w:tcPr>
            <w:tcW w:w="35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41" w:rsidRPr="00FD38FC" w:rsidRDefault="00992F41" w:rsidP="00AD048D">
            <w:pPr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FD38FC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1, 21</w:t>
            </w:r>
          </w:p>
          <w:p w:rsidR="00992F41" w:rsidRPr="00FD38FC" w:rsidRDefault="00992F41" w:rsidP="00AD048D">
            <w:pPr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FD38FC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2, 22</w:t>
            </w:r>
          </w:p>
        </w:tc>
        <w:tc>
          <w:tcPr>
            <w:tcW w:w="52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545" w:rsidRDefault="00281545" w:rsidP="00FD38FC">
            <w:pPr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I</w:t>
            </w:r>
          </w:p>
          <w:p w:rsidR="00992F41" w:rsidRPr="00FD38FC" w:rsidRDefault="00992F41" w:rsidP="00FD38FC">
            <w:pPr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FD38FC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IIA</w:t>
            </w:r>
          </w:p>
          <w:p w:rsidR="00992F41" w:rsidRPr="00FD38FC" w:rsidRDefault="00992F41" w:rsidP="00FD38FC">
            <w:pPr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FD38FC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IIB</w:t>
            </w:r>
          </w:p>
          <w:p w:rsidR="00992F41" w:rsidRPr="00FD38FC" w:rsidRDefault="00992F41" w:rsidP="00FD38FC">
            <w:pPr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FD38FC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IIC</w:t>
            </w:r>
          </w:p>
        </w:tc>
        <w:tc>
          <w:tcPr>
            <w:tcW w:w="86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41" w:rsidRPr="00C202FE" w:rsidRDefault="00992F41" w:rsidP="00FD38FC">
            <w:pPr>
              <w:jc w:val="center"/>
              <w:rPr>
                <w:rFonts w:ascii="Calibri" w:hAnsi="Calibri" w:cs="Calibri"/>
                <w:color w:val="000000"/>
                <w:szCs w:val="22"/>
                <w:lang w:val="en-GB" w:eastAsia="de-AT"/>
              </w:rPr>
            </w:pPr>
            <w:r w:rsidRPr="00C202FE">
              <w:rPr>
                <w:rFonts w:ascii="Calibri" w:hAnsi="Calibri" w:cs="Calibri"/>
                <w:color w:val="000000"/>
                <w:szCs w:val="22"/>
                <w:lang w:val="en-GB" w:eastAsia="de-AT"/>
              </w:rPr>
              <w:t>Ex d</w:t>
            </w:r>
          </w:p>
          <w:p w:rsidR="00992F41" w:rsidRPr="00992F41" w:rsidRDefault="00992F41" w:rsidP="00FD38FC">
            <w:pPr>
              <w:jc w:val="center"/>
              <w:rPr>
                <w:rFonts w:ascii="Calibri" w:hAnsi="Calibri" w:cs="Calibri"/>
                <w:color w:val="000000"/>
                <w:szCs w:val="22"/>
                <w:lang w:val="en-GB" w:eastAsia="de-AT"/>
              </w:rPr>
            </w:pPr>
            <w:r w:rsidRPr="00992F41">
              <w:rPr>
                <w:rFonts w:ascii="Calibri" w:hAnsi="Calibri" w:cs="Calibri"/>
                <w:color w:val="000000"/>
                <w:szCs w:val="22"/>
                <w:lang w:val="en-GB" w:eastAsia="de-AT"/>
              </w:rPr>
              <w:t>Ex de</w:t>
            </w:r>
          </w:p>
          <w:p w:rsidR="00992F41" w:rsidRPr="00992F41" w:rsidRDefault="00992F41" w:rsidP="00AD048D">
            <w:pPr>
              <w:jc w:val="center"/>
              <w:rPr>
                <w:rFonts w:ascii="Calibri" w:hAnsi="Calibri" w:cs="Calibri"/>
                <w:color w:val="000000"/>
                <w:szCs w:val="22"/>
                <w:lang w:val="en-GB" w:eastAsia="de-AT"/>
              </w:rPr>
            </w:pPr>
            <w:r w:rsidRPr="00992F41">
              <w:rPr>
                <w:rFonts w:ascii="Calibri" w:hAnsi="Calibri" w:cs="Calibri"/>
                <w:color w:val="000000"/>
                <w:szCs w:val="22"/>
                <w:lang w:val="en-GB" w:eastAsia="de-AT"/>
              </w:rPr>
              <w:t>Ex nA</w:t>
            </w:r>
          </w:p>
          <w:p w:rsidR="00992F41" w:rsidRPr="00992F41" w:rsidRDefault="00992F41" w:rsidP="00332CD5">
            <w:pPr>
              <w:jc w:val="center"/>
              <w:rPr>
                <w:rFonts w:ascii="Calibri" w:hAnsi="Calibri" w:cs="Calibri"/>
                <w:color w:val="000000"/>
                <w:szCs w:val="22"/>
                <w:lang w:val="en-GB" w:eastAsia="de-AT"/>
              </w:rPr>
            </w:pPr>
            <w:r w:rsidRPr="00992F41">
              <w:rPr>
                <w:rFonts w:ascii="Calibri" w:hAnsi="Calibri" w:cs="Calibri"/>
                <w:color w:val="000000"/>
                <w:szCs w:val="22"/>
                <w:lang w:val="en-GB" w:eastAsia="de-AT"/>
              </w:rPr>
              <w:t xml:space="preserve">Ex </w:t>
            </w:r>
            <w:r w:rsidR="00332CD5">
              <w:rPr>
                <w:rFonts w:ascii="Calibri" w:hAnsi="Calibri" w:cs="Calibri"/>
                <w:color w:val="000000"/>
                <w:szCs w:val="22"/>
                <w:lang w:val="en-GB" w:eastAsia="de-AT"/>
              </w:rPr>
              <w:t>p</w:t>
            </w:r>
          </w:p>
        </w:tc>
        <w:tc>
          <w:tcPr>
            <w:tcW w:w="3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41" w:rsidRPr="00992F41" w:rsidRDefault="00992F41" w:rsidP="00FD38FC">
            <w:pPr>
              <w:jc w:val="center"/>
              <w:rPr>
                <w:rFonts w:ascii="Calibri" w:hAnsi="Calibri" w:cs="Calibri"/>
                <w:color w:val="000000"/>
                <w:szCs w:val="22"/>
                <w:lang w:val="en-GB" w:eastAsia="de-AT"/>
              </w:rPr>
            </w:pPr>
          </w:p>
        </w:tc>
        <w:tc>
          <w:tcPr>
            <w:tcW w:w="98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41" w:rsidRPr="00992F41" w:rsidRDefault="00992F41" w:rsidP="00FD38FC">
            <w:pPr>
              <w:jc w:val="center"/>
              <w:rPr>
                <w:rFonts w:ascii="Calibri" w:hAnsi="Calibri" w:cs="Calibri"/>
                <w:color w:val="000000"/>
                <w:szCs w:val="22"/>
                <w:lang w:val="en-GB" w:eastAsia="de-AT"/>
              </w:rPr>
            </w:pPr>
          </w:p>
        </w:tc>
      </w:tr>
      <w:tr w:rsidR="00992F41" w:rsidRPr="00FD38FC" w:rsidTr="00992F41">
        <w:trPr>
          <w:trHeight w:val="511"/>
        </w:trPr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41" w:rsidRPr="00FD38FC" w:rsidRDefault="00C202FE" w:rsidP="00332CD5">
            <w:pPr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1</w:t>
            </w:r>
            <w:r w:rsidR="00332CD5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1</w:t>
            </w:r>
            <w:r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 xml:space="preserve">00 </w:t>
            </w:r>
            <w:r w:rsidRPr="00FD38FC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≤</w:t>
            </w:r>
            <w:r w:rsidR="00992F41" w:rsidRPr="00FD38FC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 xml:space="preserve"> Un ≤ 6600 V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41" w:rsidRPr="00FD38FC" w:rsidRDefault="00332CD5" w:rsidP="00332CD5">
            <w:pPr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90</w:t>
            </w:r>
            <w:r w:rsidR="00992F41" w:rsidRPr="00FD38FC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 xml:space="preserve"> - </w:t>
            </w:r>
            <w:r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45</w:t>
            </w:r>
            <w:r w:rsidR="00992F41" w:rsidRPr="00FD38FC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00 kW</w:t>
            </w:r>
          </w:p>
        </w:tc>
        <w:tc>
          <w:tcPr>
            <w:tcW w:w="35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41" w:rsidRPr="00FD38FC" w:rsidRDefault="00992F41" w:rsidP="00AD048D">
            <w:pPr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</w:p>
        </w:tc>
        <w:tc>
          <w:tcPr>
            <w:tcW w:w="52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41" w:rsidRPr="00FD38FC" w:rsidRDefault="00992F41" w:rsidP="00FD38FC">
            <w:pPr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</w:p>
        </w:tc>
        <w:tc>
          <w:tcPr>
            <w:tcW w:w="86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41" w:rsidRPr="00FD38FC" w:rsidRDefault="00992F41" w:rsidP="00AD048D">
            <w:pPr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</w:p>
        </w:tc>
        <w:tc>
          <w:tcPr>
            <w:tcW w:w="3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41" w:rsidRPr="00FD38FC" w:rsidRDefault="00992F41" w:rsidP="00FD38FC">
            <w:pPr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</w:p>
        </w:tc>
        <w:tc>
          <w:tcPr>
            <w:tcW w:w="98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41" w:rsidRPr="00FD38FC" w:rsidRDefault="00992F41" w:rsidP="00FD38FC">
            <w:pPr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</w:p>
        </w:tc>
      </w:tr>
      <w:tr w:rsidR="00992F41" w:rsidRPr="00FD38FC" w:rsidTr="00992F41">
        <w:trPr>
          <w:trHeight w:val="426"/>
        </w:trPr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41" w:rsidRPr="00FD38FC" w:rsidRDefault="00992F41" w:rsidP="00FD38FC">
            <w:pPr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FD38FC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6600 &lt; Un ≤ 11000 V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41" w:rsidRPr="00FD38FC" w:rsidRDefault="00332CD5" w:rsidP="00332CD5">
            <w:pPr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200</w:t>
            </w:r>
            <w:r w:rsidR="00992F41" w:rsidRPr="00FD38FC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 xml:space="preserve"> - 4</w:t>
            </w:r>
            <w:r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00</w:t>
            </w:r>
            <w:r w:rsidR="00992F41" w:rsidRPr="00FD38FC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00 kW</w:t>
            </w:r>
          </w:p>
        </w:tc>
        <w:tc>
          <w:tcPr>
            <w:tcW w:w="3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F41" w:rsidRPr="00FD38FC" w:rsidRDefault="00992F41" w:rsidP="00FD38FC">
            <w:pPr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</w:p>
        </w:tc>
        <w:tc>
          <w:tcPr>
            <w:tcW w:w="5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41" w:rsidRPr="00FD38FC" w:rsidRDefault="00992F41" w:rsidP="00FD38FC">
            <w:pPr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</w:p>
        </w:tc>
        <w:tc>
          <w:tcPr>
            <w:tcW w:w="8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41" w:rsidRPr="00FD38FC" w:rsidRDefault="00992F41" w:rsidP="00AD048D">
            <w:pPr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41" w:rsidRPr="00FD38FC" w:rsidRDefault="00992F41" w:rsidP="00FD38FC">
            <w:pPr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</w:p>
        </w:tc>
        <w:tc>
          <w:tcPr>
            <w:tcW w:w="9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41" w:rsidRPr="00FD38FC" w:rsidRDefault="00992F41" w:rsidP="00FD38FC">
            <w:pPr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</w:p>
        </w:tc>
      </w:tr>
    </w:tbl>
    <w:p w:rsidR="007E50D3" w:rsidRDefault="007E50D3" w:rsidP="004E19E8">
      <w:pPr>
        <w:rPr>
          <w:rFonts w:cs="Arial"/>
          <w:sz w:val="20"/>
          <w:szCs w:val="20"/>
          <w:lang w:val="de-AT"/>
        </w:rPr>
      </w:pPr>
    </w:p>
    <w:p w:rsidR="003372CA" w:rsidRDefault="003372CA" w:rsidP="004E19E8">
      <w:pPr>
        <w:rPr>
          <w:rFonts w:cs="Arial"/>
          <w:sz w:val="20"/>
          <w:szCs w:val="20"/>
          <w:lang w:val="de-AT"/>
        </w:rPr>
      </w:pPr>
    </w:p>
    <w:p w:rsidR="00EA21FE" w:rsidRDefault="00EA21FE" w:rsidP="004E19E8">
      <w:pPr>
        <w:rPr>
          <w:rFonts w:cs="Arial"/>
          <w:sz w:val="20"/>
          <w:szCs w:val="20"/>
          <w:lang w:val="de-AT"/>
        </w:rPr>
      </w:pPr>
      <w:r>
        <w:rPr>
          <w:rFonts w:cs="Arial"/>
          <w:sz w:val="20"/>
          <w:szCs w:val="20"/>
          <w:lang w:val="de-AT"/>
        </w:rPr>
        <w:t xml:space="preserve">Ein Großteil der explosionsgeschützten Motoren werden im portugiesischen Maia produziert, WEGs Kompetenzzentrum für die Fertigung von Mittel- und Hochspannungsmotoren.  </w:t>
      </w:r>
    </w:p>
    <w:p w:rsidR="00EA21FE" w:rsidRDefault="00EA21FE" w:rsidP="004E19E8">
      <w:pPr>
        <w:rPr>
          <w:rFonts w:cs="Arial"/>
          <w:sz w:val="20"/>
          <w:szCs w:val="20"/>
          <w:lang w:val="de-AT"/>
        </w:rPr>
      </w:pPr>
    </w:p>
    <w:p w:rsidR="00586E15" w:rsidRDefault="00586E15" w:rsidP="004E19E8">
      <w:pPr>
        <w:rPr>
          <w:rFonts w:cs="Arial"/>
          <w:sz w:val="20"/>
          <w:szCs w:val="20"/>
          <w:lang w:val="de-AT"/>
        </w:rPr>
      </w:pPr>
    </w:p>
    <w:p w:rsidR="00586E15" w:rsidRDefault="001472BC" w:rsidP="00586E15">
      <w:pPr>
        <w:jc w:val="center"/>
        <w:rPr>
          <w:noProof/>
          <w:sz w:val="20"/>
          <w:szCs w:val="20"/>
          <w:lang w:val="de-AT" w:eastAsia="en-GB"/>
        </w:rPr>
      </w:pPr>
      <w:r>
        <w:rPr>
          <w:noProof/>
          <w:sz w:val="20"/>
          <w:szCs w:val="20"/>
          <w:lang w:val="en-GB" w:eastAsia="en-GB"/>
        </w:rPr>
        <w:lastRenderedPageBreak/>
        <w:drawing>
          <wp:inline distT="0" distB="0" distL="0" distR="0">
            <wp:extent cx="2346290" cy="1659467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g-w22x-560-710-explosion-proof-motor-7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28" cy="165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E15" w:rsidRPr="0070150C" w:rsidRDefault="00586E15" w:rsidP="00586E15">
      <w:pPr>
        <w:jc w:val="center"/>
        <w:rPr>
          <w:noProof/>
          <w:sz w:val="20"/>
          <w:szCs w:val="20"/>
          <w:lang w:val="de-AT" w:eastAsia="en-GB"/>
        </w:rPr>
      </w:pPr>
      <w:r w:rsidRPr="0070150C">
        <w:rPr>
          <w:noProof/>
          <w:sz w:val="20"/>
          <w:szCs w:val="20"/>
          <w:lang w:val="de-AT" w:eastAsia="en-GB"/>
        </w:rPr>
        <w:t xml:space="preserve">Bild </w:t>
      </w:r>
      <w:r>
        <w:rPr>
          <w:noProof/>
          <w:sz w:val="20"/>
          <w:szCs w:val="20"/>
          <w:lang w:val="de-AT" w:eastAsia="en-GB"/>
        </w:rPr>
        <w:t>2</w:t>
      </w:r>
      <w:r w:rsidRPr="0070150C">
        <w:rPr>
          <w:noProof/>
          <w:sz w:val="20"/>
          <w:szCs w:val="20"/>
          <w:lang w:val="de-AT" w:eastAsia="en-GB"/>
        </w:rPr>
        <w:t>: WEG W22</w:t>
      </w:r>
      <w:r>
        <w:rPr>
          <w:noProof/>
          <w:sz w:val="20"/>
          <w:szCs w:val="20"/>
          <w:lang w:val="de-AT" w:eastAsia="en-GB"/>
        </w:rPr>
        <w:t xml:space="preserve">X Line </w:t>
      </w:r>
      <w:r w:rsidR="00F668BD">
        <w:rPr>
          <w:noProof/>
          <w:sz w:val="20"/>
          <w:szCs w:val="20"/>
          <w:lang w:val="de-AT" w:eastAsia="en-GB"/>
        </w:rPr>
        <w:t xml:space="preserve">Baugröße </w:t>
      </w:r>
      <w:r>
        <w:rPr>
          <w:noProof/>
          <w:sz w:val="20"/>
          <w:szCs w:val="20"/>
          <w:lang w:val="de-AT" w:eastAsia="en-GB"/>
        </w:rPr>
        <w:t xml:space="preserve">560-710 </w:t>
      </w:r>
    </w:p>
    <w:p w:rsidR="00586E15" w:rsidRDefault="00586E15" w:rsidP="004E19E8">
      <w:pPr>
        <w:rPr>
          <w:rFonts w:cs="Arial"/>
          <w:sz w:val="20"/>
          <w:szCs w:val="20"/>
          <w:lang w:val="de-AT"/>
        </w:rPr>
      </w:pPr>
    </w:p>
    <w:p w:rsidR="00586E15" w:rsidRDefault="00586E15" w:rsidP="004E19E8">
      <w:pPr>
        <w:rPr>
          <w:rFonts w:cs="Arial"/>
          <w:sz w:val="20"/>
          <w:szCs w:val="20"/>
          <w:lang w:val="de-AT"/>
        </w:rPr>
      </w:pPr>
    </w:p>
    <w:p w:rsidR="0048660B" w:rsidRDefault="0070718E" w:rsidP="004E19E8">
      <w:pPr>
        <w:rPr>
          <w:rFonts w:cs="Arial"/>
          <w:sz w:val="20"/>
          <w:szCs w:val="20"/>
          <w:lang w:val="de-AT"/>
        </w:rPr>
      </w:pPr>
      <w:r>
        <w:rPr>
          <w:rFonts w:cs="Arial"/>
          <w:sz w:val="20"/>
          <w:szCs w:val="20"/>
          <w:lang w:val="de-AT"/>
        </w:rPr>
        <w:t xml:space="preserve">Durch die </w:t>
      </w:r>
      <w:r w:rsidR="00281545">
        <w:rPr>
          <w:rFonts w:cs="Arial"/>
          <w:sz w:val="20"/>
          <w:szCs w:val="20"/>
          <w:lang w:val="de-AT"/>
        </w:rPr>
        <w:t>Vielzahl unterschiedlicher</w:t>
      </w:r>
      <w:r>
        <w:rPr>
          <w:rFonts w:cs="Arial"/>
          <w:sz w:val="20"/>
          <w:szCs w:val="20"/>
          <w:lang w:val="de-AT"/>
        </w:rPr>
        <w:t xml:space="preserve"> Zertifizierung</w:t>
      </w:r>
      <w:r w:rsidR="00281545">
        <w:rPr>
          <w:rFonts w:cs="Arial"/>
          <w:sz w:val="20"/>
          <w:szCs w:val="20"/>
          <w:lang w:val="de-AT"/>
        </w:rPr>
        <w:t xml:space="preserve">en </w:t>
      </w:r>
      <w:r>
        <w:rPr>
          <w:rFonts w:cs="Arial"/>
          <w:sz w:val="20"/>
          <w:szCs w:val="20"/>
          <w:lang w:val="de-AT"/>
        </w:rPr>
        <w:t xml:space="preserve">besteht die Möglichkeit </w:t>
      </w:r>
      <w:r w:rsidR="00281545">
        <w:rPr>
          <w:rFonts w:cs="Arial"/>
          <w:sz w:val="20"/>
          <w:szCs w:val="20"/>
          <w:lang w:val="de-AT"/>
        </w:rPr>
        <w:t>den W22X Motor in fast allen Industriesegmente</w:t>
      </w:r>
      <w:r w:rsidR="00090C77">
        <w:rPr>
          <w:rFonts w:cs="Arial"/>
          <w:sz w:val="20"/>
          <w:szCs w:val="20"/>
          <w:lang w:val="de-AT"/>
        </w:rPr>
        <w:t>n</w:t>
      </w:r>
      <w:r w:rsidR="00281545">
        <w:rPr>
          <w:rFonts w:cs="Arial"/>
          <w:sz w:val="20"/>
          <w:szCs w:val="20"/>
          <w:lang w:val="de-AT"/>
        </w:rPr>
        <w:t xml:space="preserve"> zu verwenden. Dazu zählen die</w:t>
      </w:r>
      <w:r>
        <w:rPr>
          <w:rFonts w:cs="Arial"/>
          <w:sz w:val="20"/>
          <w:szCs w:val="20"/>
          <w:lang w:val="de-AT"/>
        </w:rPr>
        <w:t xml:space="preserve"> gesamte Öl- und Gasindustrie sowie alle anderen </w:t>
      </w:r>
      <w:r w:rsidR="00281545">
        <w:rPr>
          <w:rFonts w:cs="Arial"/>
          <w:sz w:val="20"/>
          <w:szCs w:val="20"/>
          <w:lang w:val="de-AT"/>
        </w:rPr>
        <w:t>Industrien, welche</w:t>
      </w:r>
      <w:r>
        <w:rPr>
          <w:rFonts w:cs="Arial"/>
          <w:sz w:val="20"/>
          <w:szCs w:val="20"/>
          <w:lang w:val="de-AT"/>
        </w:rPr>
        <w:t xml:space="preserve"> </w:t>
      </w:r>
      <w:r w:rsidR="00281545">
        <w:rPr>
          <w:rFonts w:cs="Arial"/>
          <w:sz w:val="20"/>
          <w:szCs w:val="20"/>
          <w:lang w:val="de-AT"/>
        </w:rPr>
        <w:t>hohe Anforderung</w:t>
      </w:r>
      <w:r w:rsidR="00090C77">
        <w:rPr>
          <w:rFonts w:cs="Arial"/>
          <w:sz w:val="20"/>
          <w:szCs w:val="20"/>
          <w:lang w:val="de-AT"/>
        </w:rPr>
        <w:t xml:space="preserve">en </w:t>
      </w:r>
      <w:r w:rsidR="00281545">
        <w:rPr>
          <w:rFonts w:cs="Arial"/>
          <w:sz w:val="20"/>
          <w:szCs w:val="20"/>
          <w:lang w:val="de-AT"/>
        </w:rPr>
        <w:t>an eine breite</w:t>
      </w:r>
      <w:r>
        <w:rPr>
          <w:rFonts w:cs="Arial"/>
          <w:sz w:val="20"/>
          <w:szCs w:val="20"/>
          <w:lang w:val="de-AT"/>
        </w:rPr>
        <w:t xml:space="preserve"> </w:t>
      </w:r>
      <w:r w:rsidR="00281545">
        <w:rPr>
          <w:rFonts w:cs="Arial"/>
          <w:sz w:val="20"/>
          <w:szCs w:val="20"/>
          <w:lang w:val="de-AT"/>
        </w:rPr>
        <w:t>Produktp</w:t>
      </w:r>
      <w:r>
        <w:rPr>
          <w:rFonts w:cs="Arial"/>
          <w:sz w:val="20"/>
          <w:szCs w:val="20"/>
          <w:lang w:val="de-AT"/>
        </w:rPr>
        <w:t xml:space="preserve">alette </w:t>
      </w:r>
      <w:r w:rsidR="00281545">
        <w:rPr>
          <w:rFonts w:cs="Arial"/>
          <w:sz w:val="20"/>
          <w:szCs w:val="20"/>
          <w:lang w:val="de-AT"/>
        </w:rPr>
        <w:t xml:space="preserve">von </w:t>
      </w:r>
      <w:r>
        <w:rPr>
          <w:rFonts w:cs="Arial"/>
          <w:sz w:val="20"/>
          <w:szCs w:val="20"/>
          <w:lang w:val="de-AT"/>
        </w:rPr>
        <w:t>explosionsgeschützte</w:t>
      </w:r>
      <w:r w:rsidR="00281545">
        <w:rPr>
          <w:rFonts w:cs="Arial"/>
          <w:sz w:val="20"/>
          <w:szCs w:val="20"/>
          <w:lang w:val="de-AT"/>
        </w:rPr>
        <w:t>n</w:t>
      </w:r>
      <w:r>
        <w:rPr>
          <w:rFonts w:cs="Arial"/>
          <w:sz w:val="20"/>
          <w:szCs w:val="20"/>
          <w:lang w:val="de-AT"/>
        </w:rPr>
        <w:t xml:space="preserve"> und energiesparende</w:t>
      </w:r>
      <w:r w:rsidR="00281545">
        <w:rPr>
          <w:rFonts w:cs="Arial"/>
          <w:sz w:val="20"/>
          <w:szCs w:val="20"/>
          <w:lang w:val="de-AT"/>
        </w:rPr>
        <w:t>n</w:t>
      </w:r>
      <w:r>
        <w:rPr>
          <w:rFonts w:cs="Arial"/>
          <w:sz w:val="20"/>
          <w:szCs w:val="20"/>
          <w:lang w:val="de-AT"/>
        </w:rPr>
        <w:t xml:space="preserve"> Motoren </w:t>
      </w:r>
      <w:r w:rsidR="00281545">
        <w:rPr>
          <w:rFonts w:cs="Arial"/>
          <w:sz w:val="20"/>
          <w:szCs w:val="20"/>
          <w:lang w:val="de-AT"/>
        </w:rPr>
        <w:t>haben</w:t>
      </w:r>
      <w:r>
        <w:rPr>
          <w:rFonts w:cs="Arial"/>
          <w:sz w:val="20"/>
          <w:szCs w:val="20"/>
          <w:lang w:val="de-AT"/>
        </w:rPr>
        <w:t>.</w:t>
      </w:r>
    </w:p>
    <w:p w:rsidR="00BC498E" w:rsidRDefault="00281545" w:rsidP="004E19E8">
      <w:pPr>
        <w:rPr>
          <w:rFonts w:cs="Arial"/>
          <w:sz w:val="20"/>
          <w:szCs w:val="20"/>
          <w:lang w:val="de-AT"/>
        </w:rPr>
      </w:pPr>
      <w:r>
        <w:rPr>
          <w:rFonts w:cs="Arial"/>
          <w:sz w:val="20"/>
          <w:szCs w:val="20"/>
          <w:lang w:val="de-AT"/>
        </w:rPr>
        <w:t xml:space="preserve">Übliche </w:t>
      </w:r>
      <w:r w:rsidR="00BC498E">
        <w:rPr>
          <w:rFonts w:cs="Arial"/>
          <w:sz w:val="20"/>
          <w:szCs w:val="20"/>
          <w:lang w:val="de-AT"/>
        </w:rPr>
        <w:t xml:space="preserve">Optionen wie </w:t>
      </w:r>
      <w:r>
        <w:rPr>
          <w:rFonts w:cs="Arial"/>
          <w:sz w:val="20"/>
          <w:szCs w:val="20"/>
          <w:lang w:val="de-AT"/>
        </w:rPr>
        <w:t>PT-100 für Wicklung und Lager, isolierte Lager, Sonderspannungen, unterschiedliche Bauformen, etc., sind selbstverständlich verfügbar.</w:t>
      </w:r>
    </w:p>
    <w:p w:rsidR="008B55CB" w:rsidRDefault="008B55CB" w:rsidP="004E19E8">
      <w:pPr>
        <w:rPr>
          <w:rFonts w:cs="Arial"/>
          <w:sz w:val="20"/>
          <w:szCs w:val="20"/>
          <w:lang w:val="de-AT"/>
        </w:rPr>
      </w:pPr>
    </w:p>
    <w:p w:rsidR="00FD38FC" w:rsidRDefault="008B55CB" w:rsidP="004E19E8">
      <w:pPr>
        <w:rPr>
          <w:rFonts w:cs="Arial"/>
          <w:sz w:val="20"/>
          <w:szCs w:val="20"/>
          <w:lang w:val="de-AT"/>
        </w:rPr>
      </w:pPr>
      <w:r>
        <w:rPr>
          <w:rFonts w:cs="Arial"/>
          <w:sz w:val="20"/>
          <w:szCs w:val="20"/>
          <w:lang w:val="de-AT"/>
        </w:rPr>
        <w:t>Explosion</w:t>
      </w:r>
      <w:r w:rsidR="006E607B">
        <w:rPr>
          <w:rFonts w:cs="Arial"/>
          <w:sz w:val="20"/>
          <w:szCs w:val="20"/>
          <w:lang w:val="de-AT"/>
        </w:rPr>
        <w:t>s</w:t>
      </w:r>
      <w:r>
        <w:rPr>
          <w:rFonts w:cs="Arial"/>
          <w:sz w:val="20"/>
          <w:szCs w:val="20"/>
          <w:lang w:val="de-AT"/>
        </w:rPr>
        <w:t xml:space="preserve">geschützte Motoren von WEG </w:t>
      </w:r>
      <w:r w:rsidR="00981B57">
        <w:rPr>
          <w:rFonts w:cs="Arial"/>
          <w:sz w:val="20"/>
          <w:szCs w:val="20"/>
          <w:lang w:val="de-AT"/>
        </w:rPr>
        <w:t xml:space="preserve">bieten konkurrenzlose Zuverlässigkeit, internationale Zertifizierung, </w:t>
      </w:r>
      <w:r w:rsidR="00281545">
        <w:rPr>
          <w:rFonts w:cs="Arial"/>
          <w:sz w:val="20"/>
          <w:szCs w:val="20"/>
          <w:lang w:val="de-AT"/>
        </w:rPr>
        <w:t>niedrige</w:t>
      </w:r>
      <w:r w:rsidR="00981B57">
        <w:rPr>
          <w:rFonts w:cs="Arial"/>
          <w:sz w:val="20"/>
          <w:szCs w:val="20"/>
          <w:lang w:val="de-AT"/>
        </w:rPr>
        <w:t xml:space="preserve"> Betriebskosten</w:t>
      </w:r>
      <w:r w:rsidR="00281545">
        <w:rPr>
          <w:rFonts w:cs="Arial"/>
          <w:sz w:val="20"/>
          <w:szCs w:val="20"/>
          <w:lang w:val="de-AT"/>
        </w:rPr>
        <w:t>, höchste Wirkungsgrade</w:t>
      </w:r>
      <w:r>
        <w:rPr>
          <w:rFonts w:cs="Arial"/>
          <w:sz w:val="20"/>
          <w:szCs w:val="20"/>
          <w:lang w:val="de-AT"/>
        </w:rPr>
        <w:t xml:space="preserve"> </w:t>
      </w:r>
      <w:r w:rsidR="00981B57">
        <w:rPr>
          <w:rFonts w:cs="Arial"/>
          <w:sz w:val="20"/>
          <w:szCs w:val="20"/>
          <w:lang w:val="de-AT"/>
        </w:rPr>
        <w:t>und verlässliche Sicherheit.</w:t>
      </w:r>
    </w:p>
    <w:p w:rsidR="00981B57" w:rsidRDefault="00981B57" w:rsidP="004E19E8">
      <w:pPr>
        <w:rPr>
          <w:rFonts w:cs="Arial"/>
          <w:sz w:val="20"/>
          <w:szCs w:val="20"/>
          <w:lang w:val="de-AT"/>
        </w:rPr>
      </w:pPr>
    </w:p>
    <w:p w:rsidR="00304CAF" w:rsidRDefault="00074C12" w:rsidP="00074C12">
      <w:pPr>
        <w:autoSpaceDE w:val="0"/>
        <w:autoSpaceDN w:val="0"/>
        <w:adjustRightInd w:val="0"/>
        <w:rPr>
          <w:rFonts w:cs="Arial"/>
          <w:sz w:val="20"/>
          <w:szCs w:val="20"/>
          <w:lang w:val="de-AT"/>
        </w:rPr>
      </w:pPr>
      <w:r w:rsidRPr="00074C12">
        <w:rPr>
          <w:rFonts w:ascii="ArialMT" w:eastAsia="Calibri" w:hAnsi="ArialMT" w:cs="ArialMT"/>
          <w:sz w:val="20"/>
          <w:szCs w:val="20"/>
          <w:lang w:val="de-AT" w:eastAsia="de-AT"/>
        </w:rPr>
        <w:t>Weitere Informationen, das W</w:t>
      </w:r>
      <w:r>
        <w:rPr>
          <w:rFonts w:ascii="ArialMT" w:eastAsia="Calibri" w:hAnsi="ArialMT" w:cs="ArialMT"/>
          <w:sz w:val="20"/>
          <w:szCs w:val="20"/>
          <w:lang w:val="de-AT" w:eastAsia="de-AT"/>
        </w:rPr>
        <w:t xml:space="preserve">EG </w:t>
      </w:r>
      <w:r w:rsidRPr="00074C12">
        <w:rPr>
          <w:rFonts w:ascii="ArialMT" w:eastAsia="Calibri" w:hAnsi="ArialMT" w:cs="ArialMT"/>
          <w:sz w:val="20"/>
          <w:szCs w:val="20"/>
          <w:lang w:val="de-AT" w:eastAsia="de-AT"/>
        </w:rPr>
        <w:t>Produktprogramm betreffend, erhalten Sie</w:t>
      </w:r>
      <w:r>
        <w:rPr>
          <w:rFonts w:ascii="ArialMT" w:eastAsia="Calibri" w:hAnsi="ArialMT" w:cs="ArialMT"/>
          <w:sz w:val="20"/>
          <w:szCs w:val="20"/>
          <w:lang w:val="de-AT" w:eastAsia="de-AT"/>
        </w:rPr>
        <w:t xml:space="preserve"> unter </w:t>
      </w:r>
      <w:hyperlink r:id="rId11" w:history="1">
        <w:r w:rsidRPr="00074C12">
          <w:rPr>
            <w:rStyle w:val="Hyperlink"/>
            <w:rFonts w:ascii="ArialMT" w:eastAsia="Calibri" w:hAnsi="ArialMT" w:cs="ArialMT"/>
            <w:sz w:val="20"/>
            <w:szCs w:val="20"/>
            <w:lang w:val="de-AT" w:eastAsia="de-AT"/>
          </w:rPr>
          <w:t>http://www.weg.net</w:t>
        </w:r>
      </w:hyperlink>
      <w:r>
        <w:rPr>
          <w:rFonts w:ascii="ArialMT" w:eastAsia="Calibri" w:hAnsi="ArialMT" w:cs="ArialMT"/>
          <w:sz w:val="20"/>
          <w:szCs w:val="20"/>
          <w:lang w:val="de-AT" w:eastAsia="de-AT"/>
        </w:rPr>
        <w:t>.</w:t>
      </w:r>
    </w:p>
    <w:p w:rsidR="00FD38FC" w:rsidRDefault="00FD38FC" w:rsidP="004E19E8">
      <w:pPr>
        <w:rPr>
          <w:rFonts w:cs="Arial"/>
          <w:sz w:val="20"/>
          <w:szCs w:val="20"/>
          <w:lang w:val="de-AT"/>
        </w:rPr>
      </w:pPr>
    </w:p>
    <w:p w:rsidR="00074C12" w:rsidRDefault="00074C12" w:rsidP="004E19E8">
      <w:pPr>
        <w:rPr>
          <w:rFonts w:cs="Arial"/>
          <w:sz w:val="20"/>
          <w:szCs w:val="20"/>
          <w:lang w:val="de-AT"/>
        </w:rPr>
      </w:pPr>
    </w:p>
    <w:p w:rsidR="0050724A" w:rsidRDefault="0050724A" w:rsidP="0050724A">
      <w:pPr>
        <w:rPr>
          <w:rFonts w:cs="Arial"/>
          <w:b/>
          <w:sz w:val="20"/>
          <w:szCs w:val="20"/>
          <w:lang w:val="de-AT"/>
        </w:rPr>
      </w:pPr>
      <w:r w:rsidRPr="0050724A">
        <w:rPr>
          <w:rFonts w:cs="Arial"/>
          <w:b/>
          <w:sz w:val="20"/>
          <w:szCs w:val="20"/>
          <w:lang w:val="de-AT"/>
        </w:rPr>
        <w:t xml:space="preserve">Explosionsgeschützte </w:t>
      </w:r>
      <w:r>
        <w:rPr>
          <w:rFonts w:cs="Arial"/>
          <w:b/>
          <w:sz w:val="20"/>
          <w:szCs w:val="20"/>
          <w:lang w:val="de-AT"/>
        </w:rPr>
        <w:t>WATT-</w:t>
      </w:r>
      <w:r w:rsidRPr="0050724A">
        <w:rPr>
          <w:rFonts w:cs="Arial"/>
          <w:b/>
          <w:sz w:val="20"/>
          <w:szCs w:val="20"/>
          <w:lang w:val="de-AT"/>
        </w:rPr>
        <w:t>Getriebe:</w:t>
      </w:r>
    </w:p>
    <w:p w:rsidR="0096467E" w:rsidRPr="0050724A" w:rsidRDefault="0096467E" w:rsidP="0050724A">
      <w:pPr>
        <w:rPr>
          <w:rFonts w:cs="Arial"/>
          <w:b/>
          <w:sz w:val="20"/>
          <w:szCs w:val="20"/>
          <w:lang w:val="de-AT"/>
        </w:rPr>
      </w:pPr>
      <w:bookmarkStart w:id="0" w:name="_GoBack"/>
      <w:bookmarkEnd w:id="0"/>
    </w:p>
    <w:p w:rsidR="0050724A" w:rsidRDefault="0050724A" w:rsidP="0050724A">
      <w:pPr>
        <w:rPr>
          <w:rFonts w:cs="Arial"/>
          <w:sz w:val="20"/>
          <w:szCs w:val="20"/>
          <w:lang w:val="de-AT"/>
        </w:rPr>
      </w:pPr>
      <w:r>
        <w:rPr>
          <w:rFonts w:cs="Arial"/>
          <w:sz w:val="20"/>
          <w:szCs w:val="20"/>
          <w:lang w:val="de-AT"/>
        </w:rPr>
        <w:t>WATT-</w:t>
      </w:r>
      <w:r w:rsidRPr="0050724A">
        <w:rPr>
          <w:rFonts w:cs="Arial"/>
          <w:sz w:val="20"/>
          <w:szCs w:val="20"/>
          <w:lang w:val="de-AT"/>
        </w:rPr>
        <w:t>Getriebe</w:t>
      </w:r>
      <w:r w:rsidR="009D3F9F">
        <w:rPr>
          <w:rFonts w:cs="Arial"/>
          <w:sz w:val="20"/>
          <w:szCs w:val="20"/>
          <w:lang w:val="de-AT"/>
        </w:rPr>
        <w:t xml:space="preserve"> (siehe Bild 3) </w:t>
      </w:r>
      <w:r w:rsidRPr="0050724A">
        <w:rPr>
          <w:rFonts w:cs="Arial"/>
          <w:sz w:val="20"/>
          <w:szCs w:val="20"/>
          <w:lang w:val="de-AT"/>
        </w:rPr>
        <w:t>gemäß ATEX können sowohl für den</w:t>
      </w:r>
      <w:r>
        <w:rPr>
          <w:rFonts w:cs="Arial"/>
          <w:sz w:val="20"/>
          <w:szCs w:val="20"/>
          <w:lang w:val="de-AT"/>
        </w:rPr>
        <w:t xml:space="preserve"> </w:t>
      </w:r>
      <w:r w:rsidRPr="0050724A">
        <w:rPr>
          <w:rFonts w:cs="Arial"/>
          <w:sz w:val="20"/>
          <w:szCs w:val="20"/>
          <w:lang w:val="de-AT"/>
        </w:rPr>
        <w:t>Gas (G)- als auch für den Staubexplosionsschutz (D)</w:t>
      </w:r>
      <w:r w:rsidR="009D3F9F">
        <w:rPr>
          <w:rFonts w:cs="Arial"/>
          <w:sz w:val="20"/>
          <w:szCs w:val="20"/>
          <w:lang w:val="de-AT"/>
        </w:rPr>
        <w:t xml:space="preserve"> </w:t>
      </w:r>
      <w:r w:rsidRPr="0050724A">
        <w:rPr>
          <w:rFonts w:cs="Arial"/>
          <w:sz w:val="20"/>
          <w:szCs w:val="20"/>
          <w:lang w:val="de-AT"/>
        </w:rPr>
        <w:t>eingesetzt werden.</w:t>
      </w:r>
      <w:r>
        <w:rPr>
          <w:rFonts w:cs="Arial"/>
          <w:sz w:val="20"/>
          <w:szCs w:val="20"/>
          <w:lang w:val="de-AT"/>
        </w:rPr>
        <w:t xml:space="preserve"> In Kombination mit den explosionsgeschützten Motoren von WEG können die Antriebe für </w:t>
      </w:r>
      <w:r w:rsidRPr="0050724A">
        <w:rPr>
          <w:rFonts w:cs="Arial"/>
          <w:sz w:val="20"/>
          <w:szCs w:val="20"/>
          <w:lang w:val="de-AT"/>
        </w:rPr>
        <w:t xml:space="preserve">folgende Ex - Bereiche </w:t>
      </w:r>
      <w:r>
        <w:rPr>
          <w:rFonts w:cs="Arial"/>
          <w:sz w:val="20"/>
          <w:szCs w:val="20"/>
          <w:lang w:val="de-AT"/>
        </w:rPr>
        <w:t xml:space="preserve">eingesetzt </w:t>
      </w:r>
      <w:r w:rsidRPr="0050724A">
        <w:rPr>
          <w:rFonts w:cs="Arial"/>
          <w:sz w:val="20"/>
          <w:szCs w:val="20"/>
          <w:lang w:val="de-AT"/>
        </w:rPr>
        <w:t>werden</w:t>
      </w:r>
      <w:r>
        <w:rPr>
          <w:rFonts w:cs="Arial"/>
          <w:sz w:val="20"/>
          <w:szCs w:val="20"/>
          <w:lang w:val="de-AT"/>
        </w:rPr>
        <w:t>:</w:t>
      </w:r>
    </w:p>
    <w:p w:rsidR="0050724A" w:rsidRDefault="0050724A" w:rsidP="0050724A">
      <w:pPr>
        <w:rPr>
          <w:rFonts w:cs="Arial"/>
          <w:sz w:val="20"/>
          <w:szCs w:val="20"/>
          <w:lang w:val="de-AT"/>
        </w:rPr>
      </w:pPr>
    </w:p>
    <w:p w:rsidR="0050724A" w:rsidRPr="0050724A" w:rsidRDefault="0050724A" w:rsidP="0050724A">
      <w:pPr>
        <w:pStyle w:val="Listenabsatz"/>
        <w:numPr>
          <w:ilvl w:val="0"/>
          <w:numId w:val="33"/>
        </w:numPr>
        <w:rPr>
          <w:rFonts w:cs="Arial"/>
          <w:sz w:val="20"/>
          <w:szCs w:val="20"/>
          <w:lang w:val="de-AT"/>
        </w:rPr>
      </w:pPr>
      <w:r w:rsidRPr="0050724A">
        <w:rPr>
          <w:rFonts w:cs="Arial"/>
          <w:sz w:val="20"/>
          <w:szCs w:val="20"/>
          <w:lang w:val="de-AT"/>
        </w:rPr>
        <w:t>Gerätegruppe I Kategorie M2: I M2 c</w:t>
      </w:r>
    </w:p>
    <w:p w:rsidR="0050724A" w:rsidRPr="00047989" w:rsidRDefault="0050724A" w:rsidP="00047989">
      <w:pPr>
        <w:pStyle w:val="Listenabsatz"/>
        <w:numPr>
          <w:ilvl w:val="0"/>
          <w:numId w:val="33"/>
        </w:numPr>
        <w:rPr>
          <w:rFonts w:cs="Arial"/>
          <w:sz w:val="20"/>
          <w:szCs w:val="20"/>
          <w:lang w:val="de-AT"/>
        </w:rPr>
      </w:pPr>
      <w:r w:rsidRPr="0050724A">
        <w:rPr>
          <w:rFonts w:cs="Arial"/>
          <w:sz w:val="20"/>
          <w:szCs w:val="20"/>
          <w:lang w:val="de-AT"/>
        </w:rPr>
        <w:t>Gerätegruppe II Kategorie 2: II 2G c T4</w:t>
      </w:r>
      <w:r w:rsidR="00047989">
        <w:rPr>
          <w:rFonts w:cs="Arial"/>
          <w:sz w:val="20"/>
          <w:szCs w:val="20"/>
          <w:lang w:val="de-AT"/>
        </w:rPr>
        <w:t xml:space="preserve">  und </w:t>
      </w:r>
      <w:r w:rsidRPr="00047989">
        <w:rPr>
          <w:rFonts w:cs="Arial"/>
          <w:sz w:val="20"/>
          <w:szCs w:val="20"/>
          <w:lang w:val="de-AT"/>
        </w:rPr>
        <w:t>II 2D c 120°C</w:t>
      </w:r>
    </w:p>
    <w:p w:rsidR="00FD38FC" w:rsidRPr="00047989" w:rsidRDefault="0050724A" w:rsidP="0050724A">
      <w:pPr>
        <w:pStyle w:val="Listenabsatz"/>
        <w:numPr>
          <w:ilvl w:val="0"/>
          <w:numId w:val="33"/>
        </w:numPr>
        <w:rPr>
          <w:rFonts w:cs="Arial"/>
          <w:sz w:val="20"/>
          <w:szCs w:val="20"/>
          <w:lang w:val="de-AT"/>
        </w:rPr>
      </w:pPr>
      <w:r w:rsidRPr="00047989">
        <w:rPr>
          <w:rFonts w:cs="Arial"/>
          <w:sz w:val="20"/>
          <w:szCs w:val="20"/>
          <w:lang w:val="de-AT"/>
        </w:rPr>
        <w:t>Gerätegruppe II Kategorie 3: II 3G T4</w:t>
      </w:r>
      <w:r w:rsidR="00047989">
        <w:rPr>
          <w:rFonts w:cs="Arial"/>
          <w:sz w:val="20"/>
          <w:szCs w:val="20"/>
          <w:lang w:val="de-AT"/>
        </w:rPr>
        <w:t xml:space="preserve"> und </w:t>
      </w:r>
      <w:r w:rsidRPr="00047989">
        <w:rPr>
          <w:rFonts w:cs="Arial"/>
          <w:sz w:val="20"/>
          <w:szCs w:val="20"/>
          <w:lang w:val="de-AT"/>
        </w:rPr>
        <w:t>II 3D 120°C</w:t>
      </w:r>
    </w:p>
    <w:p w:rsidR="0050724A" w:rsidRDefault="0050724A" w:rsidP="004E19E8">
      <w:pPr>
        <w:rPr>
          <w:rFonts w:cs="Arial"/>
          <w:sz w:val="20"/>
          <w:szCs w:val="20"/>
          <w:lang w:val="de-AT"/>
        </w:rPr>
      </w:pPr>
    </w:p>
    <w:p w:rsidR="0050724A" w:rsidRPr="00047989" w:rsidRDefault="0050724A" w:rsidP="0050724A">
      <w:pPr>
        <w:autoSpaceDE w:val="0"/>
        <w:autoSpaceDN w:val="0"/>
        <w:adjustRightInd w:val="0"/>
        <w:rPr>
          <w:rFonts w:ascii="ArialMT" w:eastAsia="Calibri" w:hAnsi="ArialMT" w:cs="ArialMT"/>
          <w:b/>
          <w:sz w:val="20"/>
          <w:szCs w:val="20"/>
          <w:lang w:val="de-AT" w:eastAsia="de-AT"/>
        </w:rPr>
      </w:pPr>
    </w:p>
    <w:p w:rsidR="00586E15" w:rsidRDefault="00586E15" w:rsidP="00586E15">
      <w:pPr>
        <w:jc w:val="center"/>
        <w:rPr>
          <w:noProof/>
          <w:sz w:val="20"/>
          <w:szCs w:val="20"/>
          <w:lang w:val="de-AT" w:eastAsia="en-GB"/>
        </w:rPr>
      </w:pPr>
    </w:p>
    <w:p w:rsidR="00586E15" w:rsidRDefault="009D3F9F" w:rsidP="00586E15">
      <w:pPr>
        <w:jc w:val="center"/>
        <w:rPr>
          <w:noProof/>
          <w:sz w:val="20"/>
          <w:szCs w:val="20"/>
          <w:lang w:val="de-AT" w:eastAsia="en-GB"/>
        </w:rPr>
      </w:pPr>
      <w:r>
        <w:rPr>
          <w:noProof/>
          <w:sz w:val="20"/>
          <w:szCs w:val="20"/>
          <w:lang w:val="en-GB" w:eastAsia="en-GB"/>
        </w:rPr>
        <w:drawing>
          <wp:inline distT="0" distB="0" distL="0" distR="0">
            <wp:extent cx="3005666" cy="2016528"/>
            <wp:effectExtent l="0" t="0" r="4445" b="317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t-explosion-proof-gearbox-7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652" cy="201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E15" w:rsidRPr="0070150C" w:rsidRDefault="00586E15" w:rsidP="00586E15">
      <w:pPr>
        <w:jc w:val="center"/>
        <w:rPr>
          <w:noProof/>
          <w:sz w:val="20"/>
          <w:szCs w:val="20"/>
          <w:lang w:val="de-AT" w:eastAsia="en-GB"/>
        </w:rPr>
      </w:pPr>
      <w:r w:rsidRPr="0070150C">
        <w:rPr>
          <w:noProof/>
          <w:sz w:val="20"/>
          <w:szCs w:val="20"/>
          <w:lang w:val="de-AT" w:eastAsia="en-GB"/>
        </w:rPr>
        <w:t xml:space="preserve">Bild </w:t>
      </w:r>
      <w:r>
        <w:rPr>
          <w:noProof/>
          <w:sz w:val="20"/>
          <w:szCs w:val="20"/>
          <w:lang w:val="de-AT" w:eastAsia="en-GB"/>
        </w:rPr>
        <w:t>3</w:t>
      </w:r>
      <w:r w:rsidRPr="0070150C">
        <w:rPr>
          <w:noProof/>
          <w:sz w:val="20"/>
          <w:szCs w:val="20"/>
          <w:lang w:val="de-AT" w:eastAsia="en-GB"/>
        </w:rPr>
        <w:t xml:space="preserve">: </w:t>
      </w:r>
      <w:r>
        <w:rPr>
          <w:noProof/>
          <w:sz w:val="20"/>
          <w:szCs w:val="20"/>
          <w:lang w:val="de-AT" w:eastAsia="en-GB"/>
        </w:rPr>
        <w:t>WATT Stirnradgetrieb</w:t>
      </w:r>
      <w:r w:rsidR="009D3F9F">
        <w:rPr>
          <w:noProof/>
          <w:sz w:val="20"/>
          <w:szCs w:val="20"/>
          <w:lang w:val="de-AT" w:eastAsia="en-GB"/>
        </w:rPr>
        <w:t>e</w:t>
      </w:r>
      <w:r>
        <w:rPr>
          <w:noProof/>
          <w:sz w:val="20"/>
          <w:szCs w:val="20"/>
          <w:lang w:val="de-AT" w:eastAsia="en-GB"/>
        </w:rPr>
        <w:t xml:space="preserve"> mit W</w:t>
      </w:r>
      <w:r w:rsidRPr="0070150C">
        <w:rPr>
          <w:noProof/>
          <w:sz w:val="20"/>
          <w:szCs w:val="20"/>
          <w:lang w:val="de-AT" w:eastAsia="en-GB"/>
        </w:rPr>
        <w:t>22</w:t>
      </w:r>
      <w:r>
        <w:rPr>
          <w:noProof/>
          <w:sz w:val="20"/>
          <w:szCs w:val="20"/>
          <w:lang w:val="de-AT" w:eastAsia="en-GB"/>
        </w:rPr>
        <w:t>X-</w:t>
      </w:r>
      <w:r w:rsidRPr="0070150C">
        <w:rPr>
          <w:noProof/>
          <w:sz w:val="20"/>
          <w:szCs w:val="20"/>
          <w:lang w:val="de-AT" w:eastAsia="en-GB"/>
        </w:rPr>
        <w:t>Motor</w:t>
      </w:r>
    </w:p>
    <w:p w:rsidR="0050724A" w:rsidRDefault="0050724A" w:rsidP="004E19E8">
      <w:pPr>
        <w:rPr>
          <w:rFonts w:cs="Arial"/>
          <w:sz w:val="20"/>
          <w:szCs w:val="20"/>
          <w:lang w:val="de-AT"/>
        </w:rPr>
      </w:pPr>
    </w:p>
    <w:sectPr w:rsidR="0050724A" w:rsidSect="007C15DD">
      <w:headerReference w:type="default" r:id="rId13"/>
      <w:footerReference w:type="default" r:id="rId14"/>
      <w:pgSz w:w="11906" w:h="16838"/>
      <w:pgMar w:top="2722" w:right="794" w:bottom="73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231" w:rsidRDefault="00803231" w:rsidP="00DA2579">
      <w:r>
        <w:separator/>
      </w:r>
    </w:p>
  </w:endnote>
  <w:endnote w:type="continuationSeparator" w:id="0">
    <w:p w:rsidR="00803231" w:rsidRDefault="00803231" w:rsidP="00DA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328" w:rsidRPr="00DA2579" w:rsidRDefault="00854328" w:rsidP="00323735">
    <w:pPr>
      <w:pStyle w:val="Fuzeile"/>
      <w:pBdr>
        <w:top w:val="single" w:sz="4" w:space="1" w:color="00579C"/>
      </w:pBdr>
      <w:spacing w:line="288" w:lineRule="auto"/>
      <w:ind w:left="-180" w:right="8"/>
      <w:rPr>
        <w:rFonts w:ascii="Arial" w:hAnsi="Arial" w:cs="Arial"/>
        <w:sz w:val="16"/>
        <w:lang w:val="pt-BR"/>
      </w:rPr>
    </w:pPr>
    <w:r w:rsidRPr="00DA2579">
      <w:rPr>
        <w:rFonts w:ascii="Arial" w:hAnsi="Arial" w:cs="Arial"/>
        <w:b/>
        <w:sz w:val="16"/>
        <w:lang w:val="pt-BR"/>
      </w:rPr>
      <w:t>Watt Drive Antriebstechnik GmbH</w:t>
    </w:r>
  </w:p>
  <w:p w:rsidR="00854328" w:rsidRPr="00DA2579" w:rsidRDefault="00854328" w:rsidP="00DA2579">
    <w:pPr>
      <w:pStyle w:val="Fuzeile"/>
      <w:spacing w:line="288" w:lineRule="auto"/>
      <w:ind w:left="-180" w:right="-261"/>
      <w:rPr>
        <w:rFonts w:ascii="Arial" w:hAnsi="Arial" w:cs="Arial"/>
        <w:b/>
        <w:sz w:val="15"/>
        <w:lang w:val="pt-BR"/>
      </w:rPr>
    </w:pPr>
    <w:r w:rsidRPr="00DA2579">
      <w:rPr>
        <w:rFonts w:ascii="Arial" w:hAnsi="Arial" w:cs="Arial"/>
        <w:sz w:val="15"/>
        <w:lang w:val="pt-BR"/>
      </w:rPr>
      <w:t>Wöllersdorfer Str. 68 ∙ A-2753 Markt Piesting ∙ Phone: +43 (0) 2633 404-0 ∙ Fax: +43 (0) 2633 404-220 ∙  watt@wattdrive.com ∙ www.wattdrive.com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231" w:rsidRDefault="00803231" w:rsidP="00DA2579">
      <w:r>
        <w:separator/>
      </w:r>
    </w:p>
  </w:footnote>
  <w:footnote w:type="continuationSeparator" w:id="0">
    <w:p w:rsidR="00803231" w:rsidRDefault="00803231" w:rsidP="00DA2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328" w:rsidRPr="0077611F" w:rsidRDefault="00854328" w:rsidP="0077611F">
    <w:pPr>
      <w:autoSpaceDE w:val="0"/>
      <w:autoSpaceDN w:val="0"/>
      <w:adjustRightInd w:val="0"/>
      <w:rPr>
        <w:rFonts w:cs="Arial"/>
        <w:color w:val="808080"/>
        <w:sz w:val="20"/>
        <w:szCs w:val="20"/>
        <w:lang w:val="en-GB"/>
      </w:rPr>
    </w:pPr>
  </w:p>
  <w:p w:rsidR="00854328" w:rsidRPr="00DB2D86" w:rsidRDefault="00854328" w:rsidP="0077611F">
    <w:pPr>
      <w:autoSpaceDE w:val="0"/>
      <w:autoSpaceDN w:val="0"/>
      <w:adjustRightInd w:val="0"/>
      <w:rPr>
        <w:rFonts w:cs="Arial"/>
        <w:color w:val="808080"/>
        <w:sz w:val="48"/>
        <w:szCs w:val="48"/>
        <w:lang w:val="en-GB"/>
      </w:rPr>
    </w:pPr>
    <w:r>
      <w:rPr>
        <w:rFonts w:cs="Arial"/>
        <w:color w:val="808080"/>
        <w:sz w:val="48"/>
        <w:szCs w:val="48"/>
        <w:lang w:val="en-GB"/>
      </w:rPr>
      <w:t>Newsletter 11.2012</w:t>
    </w:r>
    <w:r>
      <w:rPr>
        <w:noProof/>
        <w:lang w:val="en-GB" w:eastAsia="en-GB"/>
      </w:rPr>
      <w:drawing>
        <wp:anchor distT="0" distB="0" distL="114300" distR="114300" simplePos="0" relativeHeight="251666432" behindDoc="0" locked="1" layoutInCell="1" allowOverlap="1" wp14:anchorId="6481A5C7" wp14:editId="5CC19EB4">
          <wp:simplePos x="0" y="0"/>
          <wp:positionH relativeFrom="column">
            <wp:posOffset>4667885</wp:posOffset>
          </wp:positionH>
          <wp:positionV relativeFrom="page">
            <wp:posOffset>575310</wp:posOffset>
          </wp:positionV>
          <wp:extent cx="1504950" cy="593725"/>
          <wp:effectExtent l="0" t="0" r="0" b="0"/>
          <wp:wrapNone/>
          <wp:docPr id="5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4328" w:rsidRPr="00E73AC0" w:rsidRDefault="0079389A" w:rsidP="0077611F">
    <w:pPr>
      <w:rPr>
        <w:rFonts w:cs="Arial"/>
        <w:color w:val="000000"/>
        <w:lang w:val="en-GB"/>
      </w:rPr>
    </w:pPr>
    <w:r>
      <w:rPr>
        <w:rFonts w:cs="Arial"/>
        <w:color w:val="000000"/>
        <w:lang w:val="en-GB"/>
      </w:rPr>
      <w:t>5</w:t>
    </w:r>
    <w:r w:rsidR="00854328">
      <w:rPr>
        <w:rFonts w:cs="Arial"/>
        <w:color w:val="000000"/>
        <w:lang w:val="en-GB"/>
      </w:rPr>
      <w:t xml:space="preserve">. </w:t>
    </w:r>
    <w:r>
      <w:rPr>
        <w:rFonts w:cs="Arial"/>
        <w:color w:val="000000"/>
        <w:lang w:val="en-GB"/>
      </w:rPr>
      <w:t xml:space="preserve">Dezember </w:t>
    </w:r>
    <w:r w:rsidR="00854328" w:rsidRPr="00DB2D86">
      <w:rPr>
        <w:rFonts w:cs="Arial"/>
        <w:color w:val="000000"/>
        <w:lang w:val="en-GB"/>
      </w:rPr>
      <w:t>2012</w:t>
    </w:r>
  </w:p>
  <w:p w:rsidR="00854328" w:rsidRDefault="00854328">
    <w:pPr>
      <w:pStyle w:val="Kopfzeil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0AF25050" wp14:editId="0CFFB647">
              <wp:simplePos x="0" y="0"/>
              <wp:positionH relativeFrom="column">
                <wp:posOffset>-734695</wp:posOffset>
              </wp:positionH>
              <wp:positionV relativeFrom="paragraph">
                <wp:posOffset>592455</wp:posOffset>
              </wp:positionV>
              <wp:extent cx="747395" cy="2241550"/>
              <wp:effectExtent l="0" t="0" r="0" b="6350"/>
              <wp:wrapNone/>
              <wp:docPr id="3" name="Text Box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47395" cy="224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4328" w:rsidRDefault="00854328" w:rsidP="009E7F83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BD31AAA" wp14:editId="2CB2C9A5">
                                <wp:extent cx="544195" cy="1817370"/>
                                <wp:effectExtent l="0" t="0" r="8255" b="0"/>
                                <wp:docPr id="4" name="Bild 2" descr="WEG_gridelements_stationar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2" descr="WEG_gridelements_stationar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4195" cy="18173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54328" w:rsidRDefault="00854328" w:rsidP="009E7F83"/>
                        <w:p w:rsidR="00854328" w:rsidRDefault="00854328" w:rsidP="009E7F83"/>
                        <w:p w:rsidR="00854328" w:rsidRDefault="00854328" w:rsidP="009E7F8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-57.85pt;margin-top:46.65pt;width:58.85pt;height:1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" o:allowincell="f" stroked="f">
              <o:lock v:ext="edit" aspectratio="t"/>
              <v:textbox>
                <w:txbxContent>
                  <w:p w:rsidR="007E50D3" w:rsidRDefault="007E50D3" w:rsidP="009E7F83">
                    <w:r>
                      <w:rPr>
                        <w:noProof/>
                        <w:lang w:val="de-AT" w:eastAsia="de-AT"/>
                      </w:rPr>
                      <w:drawing>
                        <wp:inline distT="0" distB="0" distL="0" distR="0" wp14:anchorId="3BD31AAA" wp14:editId="2CB2C9A5">
                          <wp:extent cx="544195" cy="1817370"/>
                          <wp:effectExtent l="0" t="0" r="8255" b="0"/>
                          <wp:docPr id="4" name="Bild 2" descr="WEG_gridelements_stationar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2" descr="WEG_gridelements_stationar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4195" cy="1817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E50D3" w:rsidRDefault="007E50D3" w:rsidP="009E7F83"/>
                  <w:p w:rsidR="007E50D3" w:rsidRDefault="007E50D3" w:rsidP="009E7F83"/>
                  <w:p w:rsidR="007E50D3" w:rsidRDefault="007E50D3" w:rsidP="009E7F8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pt;height:4pt" o:bullet="t">
        <v:imagedata r:id="rId1" o:title=""/>
      </v:shape>
    </w:pict>
  </w:numPicBullet>
  <w:numPicBullet w:numPicBulletId="1">
    <w:pict>
      <v:shape id="_x0000_i1029" type="#_x0000_t75" style="width:4pt;height:4pt" o:bullet="t">
        <v:imagedata r:id="rId2" o:title=""/>
      </v:shape>
    </w:pict>
  </w:numPicBullet>
  <w:abstractNum w:abstractNumId="0">
    <w:nsid w:val="00031F99"/>
    <w:multiLevelType w:val="hybridMultilevel"/>
    <w:tmpl w:val="BF78FD0C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35688"/>
    <w:multiLevelType w:val="hybridMultilevel"/>
    <w:tmpl w:val="EDCE8BDE"/>
    <w:lvl w:ilvl="0" w:tplc="0FDCAE0A">
      <w:start w:val="1"/>
      <w:numFmt w:val="bullet"/>
      <w:lvlText w:val=""/>
      <w:lvlPicBulletId w:val="1"/>
      <w:lvlJc w:val="left"/>
      <w:pPr>
        <w:ind w:left="129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02EB2D9B"/>
    <w:multiLevelType w:val="hybridMultilevel"/>
    <w:tmpl w:val="B1801186"/>
    <w:lvl w:ilvl="0" w:tplc="0FDCAE0A">
      <w:start w:val="1"/>
      <w:numFmt w:val="bullet"/>
      <w:lvlText w:val=""/>
      <w:lvlPicBulletId w:val="1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0B1A0B8A"/>
    <w:multiLevelType w:val="hybridMultilevel"/>
    <w:tmpl w:val="C3C84F9C"/>
    <w:lvl w:ilvl="0" w:tplc="0CBA89A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B1F07"/>
    <w:multiLevelType w:val="hybridMultilevel"/>
    <w:tmpl w:val="19ECFC84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90AAA"/>
    <w:multiLevelType w:val="hybridMultilevel"/>
    <w:tmpl w:val="9BBAA39E"/>
    <w:lvl w:ilvl="0" w:tplc="0CBA89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F3AB3"/>
    <w:multiLevelType w:val="hybridMultilevel"/>
    <w:tmpl w:val="457626F2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04986"/>
    <w:multiLevelType w:val="hybridMultilevel"/>
    <w:tmpl w:val="BE54375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175D069D"/>
    <w:multiLevelType w:val="hybridMultilevel"/>
    <w:tmpl w:val="BA9EEDA4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175D709B"/>
    <w:multiLevelType w:val="hybridMultilevel"/>
    <w:tmpl w:val="99C6BFF4"/>
    <w:lvl w:ilvl="0" w:tplc="29FAD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9239C"/>
    <w:multiLevelType w:val="hybridMultilevel"/>
    <w:tmpl w:val="910604E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3185017E"/>
    <w:multiLevelType w:val="hybridMultilevel"/>
    <w:tmpl w:val="FAE49480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336D233B"/>
    <w:multiLevelType w:val="hybridMultilevel"/>
    <w:tmpl w:val="AFD61200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3C9024FD"/>
    <w:multiLevelType w:val="hybridMultilevel"/>
    <w:tmpl w:val="7F0A290C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C751D"/>
    <w:multiLevelType w:val="hybridMultilevel"/>
    <w:tmpl w:val="352431F0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5731E7"/>
    <w:multiLevelType w:val="hybridMultilevel"/>
    <w:tmpl w:val="2F462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9A3064"/>
    <w:multiLevelType w:val="hybridMultilevel"/>
    <w:tmpl w:val="3A30A27A"/>
    <w:lvl w:ilvl="0" w:tplc="0FDCAE0A">
      <w:start w:val="1"/>
      <w:numFmt w:val="bullet"/>
      <w:lvlText w:val=""/>
      <w:lvlPicBulletId w:val="1"/>
      <w:lvlJc w:val="left"/>
      <w:pPr>
        <w:ind w:left="91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7">
    <w:nsid w:val="4FB636D2"/>
    <w:multiLevelType w:val="hybridMultilevel"/>
    <w:tmpl w:val="9B94F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6B53D2"/>
    <w:multiLevelType w:val="hybridMultilevel"/>
    <w:tmpl w:val="D49C0C16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52195317"/>
    <w:multiLevelType w:val="hybridMultilevel"/>
    <w:tmpl w:val="D864FD80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58810312"/>
    <w:multiLevelType w:val="multilevel"/>
    <w:tmpl w:val="F9BE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F45414"/>
    <w:multiLevelType w:val="hybridMultilevel"/>
    <w:tmpl w:val="716CA354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7D6747"/>
    <w:multiLevelType w:val="hybridMultilevel"/>
    <w:tmpl w:val="B5981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8D7B73"/>
    <w:multiLevelType w:val="hybridMultilevel"/>
    <w:tmpl w:val="A014BBE2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6A9E70F0"/>
    <w:multiLevelType w:val="hybridMultilevel"/>
    <w:tmpl w:val="E794BA64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D215109"/>
    <w:multiLevelType w:val="hybridMultilevel"/>
    <w:tmpl w:val="165E931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6FC46F41"/>
    <w:multiLevelType w:val="hybridMultilevel"/>
    <w:tmpl w:val="B080B7DC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71DC433B"/>
    <w:multiLevelType w:val="hybridMultilevel"/>
    <w:tmpl w:val="EB70C0B0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3B1BD0"/>
    <w:multiLevelType w:val="hybridMultilevel"/>
    <w:tmpl w:val="692C2FFE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76031D7F"/>
    <w:multiLevelType w:val="hybridMultilevel"/>
    <w:tmpl w:val="9762139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1D638B"/>
    <w:multiLevelType w:val="hybridMultilevel"/>
    <w:tmpl w:val="38F0BDBA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7B6407E8"/>
    <w:multiLevelType w:val="hybridMultilevel"/>
    <w:tmpl w:val="0180073E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7BAF3EE9"/>
    <w:multiLevelType w:val="hybridMultilevel"/>
    <w:tmpl w:val="7C16CAD4"/>
    <w:lvl w:ilvl="0" w:tplc="29FAD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E971F1"/>
    <w:multiLevelType w:val="hybridMultilevel"/>
    <w:tmpl w:val="09EAC8E8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26"/>
  </w:num>
  <w:num w:numId="5">
    <w:abstractNumId w:val="10"/>
  </w:num>
  <w:num w:numId="6">
    <w:abstractNumId w:val="7"/>
  </w:num>
  <w:num w:numId="7">
    <w:abstractNumId w:val="29"/>
  </w:num>
  <w:num w:numId="8">
    <w:abstractNumId w:val="9"/>
  </w:num>
  <w:num w:numId="9">
    <w:abstractNumId w:val="31"/>
  </w:num>
  <w:num w:numId="10">
    <w:abstractNumId w:val="24"/>
  </w:num>
  <w:num w:numId="11">
    <w:abstractNumId w:val="20"/>
  </w:num>
  <w:num w:numId="12">
    <w:abstractNumId w:val="32"/>
  </w:num>
  <w:num w:numId="13">
    <w:abstractNumId w:val="25"/>
  </w:num>
  <w:num w:numId="14">
    <w:abstractNumId w:val="19"/>
  </w:num>
  <w:num w:numId="15">
    <w:abstractNumId w:val="28"/>
  </w:num>
  <w:num w:numId="16">
    <w:abstractNumId w:val="8"/>
  </w:num>
  <w:num w:numId="17">
    <w:abstractNumId w:val="33"/>
  </w:num>
  <w:num w:numId="18">
    <w:abstractNumId w:val="30"/>
  </w:num>
  <w:num w:numId="19">
    <w:abstractNumId w:val="12"/>
  </w:num>
  <w:num w:numId="20">
    <w:abstractNumId w:val="5"/>
  </w:num>
  <w:num w:numId="21">
    <w:abstractNumId w:val="11"/>
  </w:num>
  <w:num w:numId="22">
    <w:abstractNumId w:val="23"/>
  </w:num>
  <w:num w:numId="23">
    <w:abstractNumId w:val="22"/>
  </w:num>
  <w:num w:numId="24">
    <w:abstractNumId w:val="14"/>
  </w:num>
  <w:num w:numId="25">
    <w:abstractNumId w:val="2"/>
  </w:num>
  <w:num w:numId="26">
    <w:abstractNumId w:val="1"/>
  </w:num>
  <w:num w:numId="27">
    <w:abstractNumId w:val="4"/>
  </w:num>
  <w:num w:numId="28">
    <w:abstractNumId w:val="16"/>
  </w:num>
  <w:num w:numId="29">
    <w:abstractNumId w:val="15"/>
  </w:num>
  <w:num w:numId="30">
    <w:abstractNumId w:val="17"/>
  </w:num>
  <w:num w:numId="31">
    <w:abstractNumId w:val="6"/>
  </w:num>
  <w:num w:numId="32">
    <w:abstractNumId w:val="21"/>
  </w:num>
  <w:num w:numId="33">
    <w:abstractNumId w:val="1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59"/>
    <w:rsid w:val="00003F1E"/>
    <w:rsid w:val="000069C4"/>
    <w:rsid w:val="00007B02"/>
    <w:rsid w:val="00010335"/>
    <w:rsid w:val="00042C31"/>
    <w:rsid w:val="00044FF6"/>
    <w:rsid w:val="000459C8"/>
    <w:rsid w:val="00047989"/>
    <w:rsid w:val="00056A4A"/>
    <w:rsid w:val="000728D8"/>
    <w:rsid w:val="00074C12"/>
    <w:rsid w:val="00090C77"/>
    <w:rsid w:val="000A43ED"/>
    <w:rsid w:val="000A78A8"/>
    <w:rsid w:val="000E145E"/>
    <w:rsid w:val="000E2648"/>
    <w:rsid w:val="00106390"/>
    <w:rsid w:val="00107B5D"/>
    <w:rsid w:val="0011519C"/>
    <w:rsid w:val="00125E90"/>
    <w:rsid w:val="00133FFC"/>
    <w:rsid w:val="001407B9"/>
    <w:rsid w:val="00140C71"/>
    <w:rsid w:val="001472BC"/>
    <w:rsid w:val="001653B0"/>
    <w:rsid w:val="00171EA6"/>
    <w:rsid w:val="0018387B"/>
    <w:rsid w:val="00187A71"/>
    <w:rsid w:val="00187C88"/>
    <w:rsid w:val="001975BF"/>
    <w:rsid w:val="001D0672"/>
    <w:rsid w:val="001E2F02"/>
    <w:rsid w:val="001F5421"/>
    <w:rsid w:val="001F7E78"/>
    <w:rsid w:val="00201810"/>
    <w:rsid w:val="002058A7"/>
    <w:rsid w:val="0023254B"/>
    <w:rsid w:val="00240F28"/>
    <w:rsid w:val="00247803"/>
    <w:rsid w:val="0025447B"/>
    <w:rsid w:val="00256F11"/>
    <w:rsid w:val="002615E1"/>
    <w:rsid w:val="00275CC0"/>
    <w:rsid w:val="00276FDB"/>
    <w:rsid w:val="00281545"/>
    <w:rsid w:val="0029784A"/>
    <w:rsid w:val="002A3F5E"/>
    <w:rsid w:val="002B6A0D"/>
    <w:rsid w:val="002B7706"/>
    <w:rsid w:val="002C009B"/>
    <w:rsid w:val="002E34E5"/>
    <w:rsid w:val="002F19C9"/>
    <w:rsid w:val="002F6A33"/>
    <w:rsid w:val="00304CAF"/>
    <w:rsid w:val="00323735"/>
    <w:rsid w:val="00332CD5"/>
    <w:rsid w:val="00333653"/>
    <w:rsid w:val="00335C02"/>
    <w:rsid w:val="0033700A"/>
    <w:rsid w:val="003372CA"/>
    <w:rsid w:val="00346AD8"/>
    <w:rsid w:val="00363F7B"/>
    <w:rsid w:val="00371919"/>
    <w:rsid w:val="003740BA"/>
    <w:rsid w:val="00380EF7"/>
    <w:rsid w:val="00394AA9"/>
    <w:rsid w:val="00395BDF"/>
    <w:rsid w:val="003962A8"/>
    <w:rsid w:val="00397E54"/>
    <w:rsid w:val="003B5844"/>
    <w:rsid w:val="003B7AE5"/>
    <w:rsid w:val="003D0FA0"/>
    <w:rsid w:val="003D25C9"/>
    <w:rsid w:val="003D509D"/>
    <w:rsid w:val="003D5B3A"/>
    <w:rsid w:val="003E65C3"/>
    <w:rsid w:val="004218F7"/>
    <w:rsid w:val="00425C58"/>
    <w:rsid w:val="0043738F"/>
    <w:rsid w:val="00454CD1"/>
    <w:rsid w:val="00477B1D"/>
    <w:rsid w:val="0048660B"/>
    <w:rsid w:val="00496D4D"/>
    <w:rsid w:val="004A4051"/>
    <w:rsid w:val="004B71D9"/>
    <w:rsid w:val="004C5159"/>
    <w:rsid w:val="004E11D1"/>
    <w:rsid w:val="004E19E8"/>
    <w:rsid w:val="0050479E"/>
    <w:rsid w:val="00505749"/>
    <w:rsid w:val="0050724A"/>
    <w:rsid w:val="005114F0"/>
    <w:rsid w:val="00522726"/>
    <w:rsid w:val="00522CD4"/>
    <w:rsid w:val="00537753"/>
    <w:rsid w:val="00557546"/>
    <w:rsid w:val="005623FC"/>
    <w:rsid w:val="005629B3"/>
    <w:rsid w:val="00576C22"/>
    <w:rsid w:val="005778EA"/>
    <w:rsid w:val="00582DAC"/>
    <w:rsid w:val="00583492"/>
    <w:rsid w:val="005842BB"/>
    <w:rsid w:val="00586E15"/>
    <w:rsid w:val="005B7667"/>
    <w:rsid w:val="005C1EA4"/>
    <w:rsid w:val="005D20FA"/>
    <w:rsid w:val="005D6813"/>
    <w:rsid w:val="005E205F"/>
    <w:rsid w:val="005F3CDC"/>
    <w:rsid w:val="0060276D"/>
    <w:rsid w:val="0060678E"/>
    <w:rsid w:val="00615EE6"/>
    <w:rsid w:val="00622A16"/>
    <w:rsid w:val="00624DBE"/>
    <w:rsid w:val="00627A02"/>
    <w:rsid w:val="00633082"/>
    <w:rsid w:val="00636A3B"/>
    <w:rsid w:val="006451CC"/>
    <w:rsid w:val="00677722"/>
    <w:rsid w:val="00691596"/>
    <w:rsid w:val="006969E9"/>
    <w:rsid w:val="006C0DA1"/>
    <w:rsid w:val="006C796A"/>
    <w:rsid w:val="006D0FDC"/>
    <w:rsid w:val="006E607B"/>
    <w:rsid w:val="007014D9"/>
    <w:rsid w:val="0070718E"/>
    <w:rsid w:val="007124E4"/>
    <w:rsid w:val="00756AEB"/>
    <w:rsid w:val="00766C7B"/>
    <w:rsid w:val="00766E3A"/>
    <w:rsid w:val="0077611F"/>
    <w:rsid w:val="007776DA"/>
    <w:rsid w:val="0079127C"/>
    <w:rsid w:val="0079389A"/>
    <w:rsid w:val="007A57B8"/>
    <w:rsid w:val="007C15DD"/>
    <w:rsid w:val="007C2F34"/>
    <w:rsid w:val="007E09C3"/>
    <w:rsid w:val="007E50D3"/>
    <w:rsid w:val="007F2178"/>
    <w:rsid w:val="007F3359"/>
    <w:rsid w:val="008027C5"/>
    <w:rsid w:val="00803231"/>
    <w:rsid w:val="0080547A"/>
    <w:rsid w:val="00816AB5"/>
    <w:rsid w:val="00820A40"/>
    <w:rsid w:val="00823D22"/>
    <w:rsid w:val="00823D2B"/>
    <w:rsid w:val="00826A70"/>
    <w:rsid w:val="0083117E"/>
    <w:rsid w:val="00836C3F"/>
    <w:rsid w:val="00845EEA"/>
    <w:rsid w:val="00846EDC"/>
    <w:rsid w:val="00854328"/>
    <w:rsid w:val="008702C2"/>
    <w:rsid w:val="008703FE"/>
    <w:rsid w:val="00871CA3"/>
    <w:rsid w:val="00872EF8"/>
    <w:rsid w:val="0088694F"/>
    <w:rsid w:val="00893908"/>
    <w:rsid w:val="00897000"/>
    <w:rsid w:val="008B0107"/>
    <w:rsid w:val="008B288E"/>
    <w:rsid w:val="008B55CB"/>
    <w:rsid w:val="008B570C"/>
    <w:rsid w:val="008C6543"/>
    <w:rsid w:val="008D3644"/>
    <w:rsid w:val="008E0176"/>
    <w:rsid w:val="008E64EC"/>
    <w:rsid w:val="008F6EB6"/>
    <w:rsid w:val="009427B9"/>
    <w:rsid w:val="009442BB"/>
    <w:rsid w:val="0094572E"/>
    <w:rsid w:val="00945AF9"/>
    <w:rsid w:val="0096467E"/>
    <w:rsid w:val="00966BA2"/>
    <w:rsid w:val="00981B57"/>
    <w:rsid w:val="009918E8"/>
    <w:rsid w:val="00992F41"/>
    <w:rsid w:val="009B3209"/>
    <w:rsid w:val="009B34A9"/>
    <w:rsid w:val="009D0E88"/>
    <w:rsid w:val="009D3F9F"/>
    <w:rsid w:val="009D5DCE"/>
    <w:rsid w:val="009E7F83"/>
    <w:rsid w:val="009F4454"/>
    <w:rsid w:val="00A025AE"/>
    <w:rsid w:val="00A07602"/>
    <w:rsid w:val="00A10F28"/>
    <w:rsid w:val="00A17599"/>
    <w:rsid w:val="00A2025E"/>
    <w:rsid w:val="00A321B4"/>
    <w:rsid w:val="00A34BBE"/>
    <w:rsid w:val="00A4679E"/>
    <w:rsid w:val="00A66B78"/>
    <w:rsid w:val="00A71BA2"/>
    <w:rsid w:val="00A747BB"/>
    <w:rsid w:val="00A76FFC"/>
    <w:rsid w:val="00AA268E"/>
    <w:rsid w:val="00AA344E"/>
    <w:rsid w:val="00AA6757"/>
    <w:rsid w:val="00AB60D0"/>
    <w:rsid w:val="00AC1062"/>
    <w:rsid w:val="00AD048D"/>
    <w:rsid w:val="00AE0CC0"/>
    <w:rsid w:val="00AF33E7"/>
    <w:rsid w:val="00AF4996"/>
    <w:rsid w:val="00B05AA4"/>
    <w:rsid w:val="00B12B56"/>
    <w:rsid w:val="00B32D81"/>
    <w:rsid w:val="00B45D18"/>
    <w:rsid w:val="00B553E6"/>
    <w:rsid w:val="00B60AAB"/>
    <w:rsid w:val="00B645A9"/>
    <w:rsid w:val="00B71D6F"/>
    <w:rsid w:val="00B80A75"/>
    <w:rsid w:val="00B83441"/>
    <w:rsid w:val="00B877C5"/>
    <w:rsid w:val="00B950BC"/>
    <w:rsid w:val="00BA6C19"/>
    <w:rsid w:val="00BB3775"/>
    <w:rsid w:val="00BC498E"/>
    <w:rsid w:val="00BD1256"/>
    <w:rsid w:val="00BD50C1"/>
    <w:rsid w:val="00BD6B35"/>
    <w:rsid w:val="00BF0DFB"/>
    <w:rsid w:val="00BF64DF"/>
    <w:rsid w:val="00BF65B3"/>
    <w:rsid w:val="00BF7F91"/>
    <w:rsid w:val="00C06579"/>
    <w:rsid w:val="00C06E9A"/>
    <w:rsid w:val="00C202FE"/>
    <w:rsid w:val="00C23698"/>
    <w:rsid w:val="00C430CF"/>
    <w:rsid w:val="00C44EAA"/>
    <w:rsid w:val="00C452FA"/>
    <w:rsid w:val="00C5502C"/>
    <w:rsid w:val="00C62DB3"/>
    <w:rsid w:val="00C67818"/>
    <w:rsid w:val="00C766C4"/>
    <w:rsid w:val="00CC442E"/>
    <w:rsid w:val="00CC7632"/>
    <w:rsid w:val="00CE1BF6"/>
    <w:rsid w:val="00CE3382"/>
    <w:rsid w:val="00CF0C28"/>
    <w:rsid w:val="00D13D1B"/>
    <w:rsid w:val="00D31F28"/>
    <w:rsid w:val="00D329D7"/>
    <w:rsid w:val="00D410D4"/>
    <w:rsid w:val="00D51D38"/>
    <w:rsid w:val="00D66FDC"/>
    <w:rsid w:val="00D81996"/>
    <w:rsid w:val="00D8582B"/>
    <w:rsid w:val="00DA00B6"/>
    <w:rsid w:val="00DA2579"/>
    <w:rsid w:val="00DA43A3"/>
    <w:rsid w:val="00DA784A"/>
    <w:rsid w:val="00DA7C20"/>
    <w:rsid w:val="00DB2D86"/>
    <w:rsid w:val="00DB5FC0"/>
    <w:rsid w:val="00DB6105"/>
    <w:rsid w:val="00DC5CF6"/>
    <w:rsid w:val="00DE710C"/>
    <w:rsid w:val="00DF54E8"/>
    <w:rsid w:val="00E0601F"/>
    <w:rsid w:val="00E10E1D"/>
    <w:rsid w:val="00E27AC6"/>
    <w:rsid w:val="00E3541C"/>
    <w:rsid w:val="00E442EC"/>
    <w:rsid w:val="00E579FB"/>
    <w:rsid w:val="00E63C04"/>
    <w:rsid w:val="00E73AC0"/>
    <w:rsid w:val="00E826AF"/>
    <w:rsid w:val="00E93D93"/>
    <w:rsid w:val="00EA2166"/>
    <w:rsid w:val="00EA21FE"/>
    <w:rsid w:val="00EB13B5"/>
    <w:rsid w:val="00EB5913"/>
    <w:rsid w:val="00EB6055"/>
    <w:rsid w:val="00EC7950"/>
    <w:rsid w:val="00ED2F96"/>
    <w:rsid w:val="00ED4058"/>
    <w:rsid w:val="00ED4381"/>
    <w:rsid w:val="00ED4E4C"/>
    <w:rsid w:val="00EF39B7"/>
    <w:rsid w:val="00F12D67"/>
    <w:rsid w:val="00F17BF2"/>
    <w:rsid w:val="00F3271F"/>
    <w:rsid w:val="00F44D0D"/>
    <w:rsid w:val="00F47932"/>
    <w:rsid w:val="00F502EA"/>
    <w:rsid w:val="00F56BAE"/>
    <w:rsid w:val="00F57F19"/>
    <w:rsid w:val="00F621DB"/>
    <w:rsid w:val="00F668BD"/>
    <w:rsid w:val="00F760BD"/>
    <w:rsid w:val="00FA12A0"/>
    <w:rsid w:val="00FB00EE"/>
    <w:rsid w:val="00FC0A81"/>
    <w:rsid w:val="00FC2160"/>
    <w:rsid w:val="00FC539C"/>
    <w:rsid w:val="00FC7275"/>
    <w:rsid w:val="00FC7A46"/>
    <w:rsid w:val="00FD2320"/>
    <w:rsid w:val="00FD38FC"/>
    <w:rsid w:val="00FE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442E"/>
    <w:rPr>
      <w:rFonts w:ascii="Arial" w:eastAsia="Times New Roman" w:hAnsi="Arial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E65C3"/>
    <w:pPr>
      <w:outlineLvl w:val="0"/>
    </w:pPr>
    <w:rPr>
      <w:rFonts w:cs="Arial"/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3E65C3"/>
    <w:rPr>
      <w:rFonts w:ascii="Arial" w:hAnsi="Arial" w:cs="Arial"/>
      <w:b/>
      <w:sz w:val="28"/>
      <w:szCs w:val="28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DA2579"/>
    <w:pPr>
      <w:tabs>
        <w:tab w:val="center" w:pos="4536"/>
        <w:tab w:val="right" w:pos="9072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A257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A2579"/>
    <w:pPr>
      <w:tabs>
        <w:tab w:val="center" w:pos="4536"/>
        <w:tab w:val="right" w:pos="9072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DA2579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7761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7611F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99"/>
    <w:qFormat/>
    <w:rsid w:val="007F3359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8703FE"/>
    <w:rPr>
      <w:rFonts w:cs="Times New Roman"/>
      <w:color w:val="0000FF"/>
      <w:u w:val="single"/>
    </w:rPr>
  </w:style>
  <w:style w:type="character" w:styleId="Fett">
    <w:name w:val="Strong"/>
    <w:basedOn w:val="Absatz-Standardschriftart"/>
    <w:uiPriority w:val="99"/>
    <w:qFormat/>
    <w:rsid w:val="00BF65B3"/>
    <w:rPr>
      <w:rFonts w:cs="Times New Roman"/>
      <w:b/>
      <w:bCs/>
    </w:rPr>
  </w:style>
  <w:style w:type="paragraph" w:styleId="StandardWeb">
    <w:name w:val="Normal (Web)"/>
    <w:basedOn w:val="Standard"/>
    <w:uiPriority w:val="99"/>
    <w:semiHidden/>
    <w:rsid w:val="00BF65B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erarbeitung">
    <w:name w:val="Revision"/>
    <w:hidden/>
    <w:uiPriority w:val="99"/>
    <w:semiHidden/>
    <w:rsid w:val="00BF7F91"/>
    <w:rPr>
      <w:rFonts w:ascii="Arial" w:eastAsia="Times New Roman" w:hAnsi="Arial"/>
      <w:szCs w:val="24"/>
      <w:lang w:val="de-DE" w:eastAsia="de-DE"/>
    </w:rPr>
  </w:style>
  <w:style w:type="character" w:customStyle="1" w:styleId="style141">
    <w:name w:val="style141"/>
    <w:basedOn w:val="Absatz-Standardschriftart"/>
    <w:uiPriority w:val="99"/>
    <w:rsid w:val="00BB3775"/>
    <w:rPr>
      <w:rFonts w:cs="Times New Roman"/>
      <w:sz w:val="18"/>
      <w:szCs w:val="18"/>
    </w:rPr>
  </w:style>
  <w:style w:type="paragraph" w:customStyle="1" w:styleId="Absatz">
    <w:name w:val="Absatz"/>
    <w:basedOn w:val="Standard"/>
    <w:rsid w:val="00CC442E"/>
    <w:rPr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CC4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AT"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CC442E"/>
    <w:rPr>
      <w:rFonts w:ascii="Courier New" w:eastAsia="Times New Roman" w:hAnsi="Courier New" w:cs="Courier New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E34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442E"/>
    <w:rPr>
      <w:rFonts w:ascii="Arial" w:eastAsia="Times New Roman" w:hAnsi="Arial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E65C3"/>
    <w:pPr>
      <w:outlineLvl w:val="0"/>
    </w:pPr>
    <w:rPr>
      <w:rFonts w:cs="Arial"/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3E65C3"/>
    <w:rPr>
      <w:rFonts w:ascii="Arial" w:hAnsi="Arial" w:cs="Arial"/>
      <w:b/>
      <w:sz w:val="28"/>
      <w:szCs w:val="28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DA2579"/>
    <w:pPr>
      <w:tabs>
        <w:tab w:val="center" w:pos="4536"/>
        <w:tab w:val="right" w:pos="9072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A257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A2579"/>
    <w:pPr>
      <w:tabs>
        <w:tab w:val="center" w:pos="4536"/>
        <w:tab w:val="right" w:pos="9072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DA2579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7761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7611F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99"/>
    <w:qFormat/>
    <w:rsid w:val="007F3359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8703FE"/>
    <w:rPr>
      <w:rFonts w:cs="Times New Roman"/>
      <w:color w:val="0000FF"/>
      <w:u w:val="single"/>
    </w:rPr>
  </w:style>
  <w:style w:type="character" w:styleId="Fett">
    <w:name w:val="Strong"/>
    <w:basedOn w:val="Absatz-Standardschriftart"/>
    <w:uiPriority w:val="99"/>
    <w:qFormat/>
    <w:rsid w:val="00BF65B3"/>
    <w:rPr>
      <w:rFonts w:cs="Times New Roman"/>
      <w:b/>
      <w:bCs/>
    </w:rPr>
  </w:style>
  <w:style w:type="paragraph" w:styleId="StandardWeb">
    <w:name w:val="Normal (Web)"/>
    <w:basedOn w:val="Standard"/>
    <w:uiPriority w:val="99"/>
    <w:semiHidden/>
    <w:rsid w:val="00BF65B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erarbeitung">
    <w:name w:val="Revision"/>
    <w:hidden/>
    <w:uiPriority w:val="99"/>
    <w:semiHidden/>
    <w:rsid w:val="00BF7F91"/>
    <w:rPr>
      <w:rFonts w:ascii="Arial" w:eastAsia="Times New Roman" w:hAnsi="Arial"/>
      <w:szCs w:val="24"/>
      <w:lang w:val="de-DE" w:eastAsia="de-DE"/>
    </w:rPr>
  </w:style>
  <w:style w:type="character" w:customStyle="1" w:styleId="style141">
    <w:name w:val="style141"/>
    <w:basedOn w:val="Absatz-Standardschriftart"/>
    <w:uiPriority w:val="99"/>
    <w:rsid w:val="00BB3775"/>
    <w:rPr>
      <w:rFonts w:cs="Times New Roman"/>
      <w:sz w:val="18"/>
      <w:szCs w:val="18"/>
    </w:rPr>
  </w:style>
  <w:style w:type="paragraph" w:customStyle="1" w:styleId="Absatz">
    <w:name w:val="Absatz"/>
    <w:basedOn w:val="Standard"/>
    <w:rsid w:val="00CC442E"/>
    <w:rPr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CC4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AT"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CC442E"/>
    <w:rPr>
      <w:rFonts w:ascii="Courier New" w:eastAsia="Times New Roman" w:hAnsi="Courier New" w:cs="Courier New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E34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7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71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eg.net/at/Produkte-Services/Electric-Motors/IEC-Hazardous-Area-Applicatio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eg"/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WATT%20Vorlagen\Allgemein_exter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1706C-B37F-4F69-8EA4-4C9D56A0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Allgemein_extern.dotx</Template>
  <TotalTime>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Skyglider – Fliegen, frei wie ein Vogel</vt:lpstr>
    </vt:vector>
  </TitlesOfParts>
  <Company>Hewlett-Packard Company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Skyglider – Fliegen, frei wie ein Vogel</dc:title>
  <dc:creator>Ponweiser Jürgen</dc:creator>
  <cp:lastModifiedBy>Ponweiser Jürgen</cp:lastModifiedBy>
  <cp:revision>33</cp:revision>
  <cp:lastPrinted>2012-11-20T15:29:00Z</cp:lastPrinted>
  <dcterms:created xsi:type="dcterms:W3CDTF">2012-11-19T13:09:00Z</dcterms:created>
  <dcterms:modified xsi:type="dcterms:W3CDTF">2012-12-05T11:13:00Z</dcterms:modified>
</cp:coreProperties>
</file>